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1A4F" w14:textId="77777777" w:rsidR="00E703B2" w:rsidRDefault="00921B2C">
      <w:pPr>
        <w:pStyle w:val="Heading3"/>
        <w:jc w:val="left"/>
        <w:rPr>
          <w:rFonts w:ascii="Times New Roman" w:hAnsi="Times New Roman"/>
        </w:rPr>
      </w:pPr>
      <w:r>
        <w:rPr>
          <w:rFonts w:ascii="Times New Roman" w:hAnsi="Times New Roman"/>
        </w:rPr>
        <w:t xml:space="preserve">Reporting </w:t>
      </w:r>
      <w:r w:rsidR="009D36FD">
        <w:rPr>
          <w:rFonts w:ascii="Times New Roman" w:hAnsi="Times New Roman"/>
        </w:rPr>
        <w:t>Unit</w:t>
      </w:r>
      <w:r>
        <w:rPr>
          <w:rFonts w:ascii="Times New Roman" w:hAnsi="Times New Roman"/>
        </w:rPr>
        <w:t>:</w:t>
      </w:r>
      <w:r>
        <w:rPr>
          <w:rFonts w:ascii="Times New Roman" w:hAnsi="Times New Roman"/>
        </w:rPr>
        <w:tab/>
      </w:r>
      <w:r w:rsidR="00987095" w:rsidRPr="00987095">
        <w:rPr>
          <w:rFonts w:ascii="Times New Roman" w:hAnsi="Times New Roman"/>
          <w:b/>
        </w:rPr>
        <w:t>Energy and Environment</w:t>
      </w:r>
    </w:p>
    <w:p w14:paraId="329C0F6F" w14:textId="77777777" w:rsidR="00E703B2" w:rsidRPr="00987095" w:rsidRDefault="00987095" w:rsidP="007079CA">
      <w:pPr>
        <w:pStyle w:val="Heading3"/>
        <w:jc w:val="left"/>
        <w:rPr>
          <w:rFonts w:ascii="Times New Roman" w:hAnsi="Times New Roman"/>
          <w:b/>
        </w:rPr>
      </w:pPr>
      <w:r>
        <w:rPr>
          <w:rFonts w:ascii="Times New Roman" w:hAnsi="Times New Roman"/>
        </w:rPr>
        <w:t>Country:</w:t>
      </w:r>
      <w:r>
        <w:rPr>
          <w:rFonts w:ascii="Times New Roman" w:hAnsi="Times New Roman"/>
        </w:rPr>
        <w:tab/>
      </w:r>
      <w:r>
        <w:rPr>
          <w:rFonts w:ascii="Times New Roman" w:hAnsi="Times New Roman"/>
        </w:rPr>
        <w:tab/>
      </w:r>
      <w:r w:rsidR="0003287B" w:rsidRPr="00987095">
        <w:rPr>
          <w:rFonts w:ascii="Times New Roman" w:hAnsi="Times New Roman"/>
          <w:b/>
        </w:rPr>
        <w:t>Sierra Leone</w:t>
      </w:r>
    </w:p>
    <w:p w14:paraId="2808DAC9" w14:textId="77777777" w:rsidR="007079CA" w:rsidRPr="007079CA" w:rsidRDefault="007079CA" w:rsidP="007079CA"/>
    <w:p w14:paraId="76BE131A" w14:textId="77777777" w:rsidR="00E703B2" w:rsidRDefault="00921B2C">
      <w:pPr>
        <w:pStyle w:val="Heading3"/>
        <w:rPr>
          <w:b/>
          <w:bCs w:val="0"/>
        </w:rPr>
      </w:pPr>
      <w:r>
        <w:rPr>
          <w:b/>
          <w:bCs w:val="0"/>
        </w:rPr>
        <w:t>STANDARD PROGRESS REPORT</w:t>
      </w:r>
    </w:p>
    <w:p w14:paraId="74EFD496" w14:textId="77777777" w:rsidR="00E703B2" w:rsidRDefault="00E703B2">
      <w:pPr>
        <w:pStyle w:val="Heading3"/>
        <w:rPr>
          <w:rFonts w:ascii="Times New Roman" w:hAnsi="Times New Roman"/>
          <w:b/>
        </w:rPr>
      </w:pPr>
    </w:p>
    <w:p w14:paraId="2FBB8058" w14:textId="77777777" w:rsidR="00E703B2" w:rsidRDefault="002447E2">
      <w:pPr>
        <w:pStyle w:val="Heading3"/>
        <w:jc w:val="left"/>
        <w:rPr>
          <w:rFonts w:ascii="Times New Roman" w:hAnsi="Times New Roman"/>
        </w:rPr>
      </w:pPr>
      <w:r>
        <w:rPr>
          <w:rFonts w:ascii="Times New Roman" w:hAnsi="Times New Roman"/>
        </w:rPr>
        <w:t>No. and title:</w:t>
      </w:r>
      <w:r>
        <w:rPr>
          <w:rFonts w:ascii="Times New Roman" w:hAnsi="Times New Roman"/>
        </w:rPr>
        <w:tab/>
      </w:r>
      <w:r>
        <w:rPr>
          <w:rFonts w:ascii="Times New Roman" w:hAnsi="Times New Roman"/>
        </w:rPr>
        <w:tab/>
      </w:r>
      <w:r w:rsidRPr="002447E2">
        <w:rPr>
          <w:rFonts w:ascii="Times New Roman" w:hAnsi="Times New Roman"/>
          <w:b/>
        </w:rPr>
        <w:t>00086632</w:t>
      </w:r>
      <w:r w:rsidR="0003287B" w:rsidRPr="002447E2">
        <w:rPr>
          <w:rFonts w:ascii="Times New Roman" w:hAnsi="Times New Roman"/>
          <w:b/>
        </w:rPr>
        <w:t xml:space="preserve"> </w:t>
      </w:r>
      <w:r w:rsidRPr="002447E2">
        <w:rPr>
          <w:rFonts w:ascii="Times New Roman" w:hAnsi="Times New Roman"/>
          <w:b/>
        </w:rPr>
        <w:t>Adaptive Capacity of Water services to Climate Change</w:t>
      </w:r>
    </w:p>
    <w:p w14:paraId="47378191" w14:textId="77777777" w:rsidR="00E703B2" w:rsidRDefault="0003287B">
      <w:pPr>
        <w:pStyle w:val="Heading3"/>
        <w:jc w:val="left"/>
        <w:rPr>
          <w:rFonts w:ascii="Times New Roman" w:hAnsi="Times New Roman"/>
        </w:rPr>
      </w:pPr>
      <w:r>
        <w:rPr>
          <w:rFonts w:ascii="Times New Roman" w:hAnsi="Times New Roman"/>
        </w:rPr>
        <w:t>Reporting</w:t>
      </w:r>
      <w:r w:rsidR="00DF186A">
        <w:rPr>
          <w:rFonts w:ascii="Times New Roman" w:hAnsi="Times New Roman"/>
        </w:rPr>
        <w:t xml:space="preserve"> period: </w:t>
      </w:r>
      <w:r w:rsidR="00DF186A">
        <w:rPr>
          <w:rFonts w:ascii="Times New Roman" w:hAnsi="Times New Roman"/>
        </w:rPr>
        <w:tab/>
      </w:r>
      <w:r w:rsidR="00DF186A" w:rsidRPr="002447E2">
        <w:rPr>
          <w:rFonts w:ascii="Times New Roman" w:hAnsi="Times New Roman"/>
          <w:b/>
        </w:rPr>
        <w:t>January-December</w:t>
      </w:r>
      <w:r w:rsidR="00434A75" w:rsidRPr="002447E2">
        <w:rPr>
          <w:rFonts w:ascii="Times New Roman" w:hAnsi="Times New Roman"/>
          <w:b/>
        </w:rPr>
        <w:t>, 2017</w:t>
      </w:r>
    </w:p>
    <w:p w14:paraId="37726A19" w14:textId="77777777" w:rsidR="00E703B2" w:rsidRDefault="00E703B2">
      <w:pPr>
        <w:pStyle w:val="Heading3"/>
        <w:rPr>
          <w:rFonts w:ascii="Times New Roman" w:hAnsi="Times New Roman"/>
        </w:rPr>
      </w:pPr>
    </w:p>
    <w:p w14:paraId="3B5D136E" w14:textId="77777777" w:rsidR="00E703B2" w:rsidRDefault="00E703B2"/>
    <w:p w14:paraId="7CBF2E56" w14:textId="77777777" w:rsidR="00A740A8" w:rsidRPr="00434A75" w:rsidRDefault="00921B2C" w:rsidP="00434A75">
      <w:pPr>
        <w:pStyle w:val="Heading3"/>
        <w:rPr>
          <w:b/>
          <w:bCs w:val="0"/>
        </w:rPr>
      </w:pPr>
      <w:r>
        <w:rPr>
          <w:b/>
          <w:bCs w:val="0"/>
        </w:rPr>
        <w:t>I.  PURPOSE</w:t>
      </w:r>
      <w:r w:rsidR="00A740A8" w:rsidRPr="00A740A8">
        <w:t xml:space="preserve"> </w:t>
      </w:r>
    </w:p>
    <w:p w14:paraId="4D618F1B" w14:textId="77777777" w:rsidR="00434A75" w:rsidRDefault="00434A75" w:rsidP="00A740A8">
      <w:pPr>
        <w:jc w:val="both"/>
      </w:pPr>
    </w:p>
    <w:p w14:paraId="32BBCE02" w14:textId="77777777" w:rsidR="00A740A8" w:rsidRPr="00DC532B" w:rsidRDefault="00DC532B" w:rsidP="00A740A8">
      <w:pPr>
        <w:jc w:val="both"/>
      </w:pPr>
      <w:r w:rsidRPr="00DC532B">
        <w:t>Policy framework and institutional arrangements for managing natural resources and addressing climate- change, disaster, and environmental management strengthened</w:t>
      </w:r>
    </w:p>
    <w:p w14:paraId="69DAFC57" w14:textId="77777777" w:rsidR="00434A75" w:rsidRDefault="00434A75" w:rsidP="00A740A8">
      <w:pPr>
        <w:jc w:val="both"/>
      </w:pPr>
    </w:p>
    <w:p w14:paraId="110F78BD" w14:textId="77777777" w:rsidR="00DC532B" w:rsidRPr="00DC532B" w:rsidRDefault="00DC532B" w:rsidP="00DC532B">
      <w:pPr>
        <w:widowControl/>
        <w:spacing w:after="160" w:line="259" w:lineRule="auto"/>
        <w:contextualSpacing/>
        <w:jc w:val="both"/>
      </w:pPr>
      <w:r w:rsidRPr="00DC532B">
        <w:rPr>
          <w:b/>
        </w:rPr>
        <w:t>Output 1:</w:t>
      </w:r>
      <w:r>
        <w:t xml:space="preserve"> </w:t>
      </w:r>
      <w:r w:rsidRPr="00DC532B">
        <w:t>Policies, legal and institutional framework for managing land tenure reform improved;</w:t>
      </w:r>
    </w:p>
    <w:p w14:paraId="1997AA0D" w14:textId="77777777" w:rsidR="00DC532B" w:rsidRPr="00DC532B" w:rsidRDefault="00DC532B" w:rsidP="00DC532B">
      <w:pPr>
        <w:widowControl/>
        <w:spacing w:after="160" w:line="259" w:lineRule="auto"/>
        <w:contextualSpacing/>
        <w:jc w:val="both"/>
      </w:pPr>
      <w:r w:rsidRPr="00DC532B">
        <w:rPr>
          <w:b/>
        </w:rPr>
        <w:t>Ou</w:t>
      </w:r>
      <w:r>
        <w:rPr>
          <w:b/>
        </w:rPr>
        <w:t>t</w:t>
      </w:r>
      <w:r w:rsidRPr="00DC532B">
        <w:rPr>
          <w:b/>
        </w:rPr>
        <w:t>put 2:</w:t>
      </w:r>
      <w:r>
        <w:t xml:space="preserve"> </w:t>
      </w:r>
      <w:r w:rsidRPr="00DC532B">
        <w:t>Increased resilience and enhanced national and local capacities for disaster risk management, environmental governance, climate change adaptation and mitigation for effective early warning system</w:t>
      </w:r>
    </w:p>
    <w:p w14:paraId="6A6381D2" w14:textId="77777777" w:rsidR="00DC532B" w:rsidRPr="00DC532B" w:rsidRDefault="00DC532B" w:rsidP="00DC532B">
      <w:pPr>
        <w:widowControl/>
        <w:spacing w:after="160" w:line="259" w:lineRule="auto"/>
        <w:contextualSpacing/>
        <w:jc w:val="both"/>
      </w:pPr>
      <w:r w:rsidRPr="00DC532B">
        <w:rPr>
          <w:b/>
        </w:rPr>
        <w:t>Output 3:</w:t>
      </w:r>
      <w:r>
        <w:t xml:space="preserve"> </w:t>
      </w:r>
      <w:r w:rsidRPr="00DC532B">
        <w:t>Improved Waste Management in Bo and Makeni cities and relevant lessons learned shared with other Local Councils</w:t>
      </w:r>
    </w:p>
    <w:p w14:paraId="067851F9" w14:textId="77777777" w:rsidR="00A740A8" w:rsidRDefault="00A740A8" w:rsidP="00A740A8">
      <w:pPr>
        <w:widowControl/>
        <w:autoSpaceDE w:val="0"/>
        <w:autoSpaceDN w:val="0"/>
        <w:adjustRightInd w:val="0"/>
        <w:rPr>
          <w:rFonts w:ascii="FuturaT-Demi" w:hAnsi="FuturaT-Demi" w:cs="FuturaT-Demi"/>
          <w:color w:val="FFFFFF"/>
          <w:sz w:val="18"/>
          <w:szCs w:val="18"/>
        </w:rPr>
      </w:pPr>
      <w:r>
        <w:rPr>
          <w:rFonts w:ascii="FuturaT-Demi" w:hAnsi="FuturaT-Demi" w:cs="FuturaT-Demi"/>
          <w:color w:val="FFFFFF"/>
          <w:sz w:val="18"/>
          <w:szCs w:val="18"/>
        </w:rPr>
        <w:t>FICATION</w:t>
      </w:r>
    </w:p>
    <w:p w14:paraId="50ED7A86" w14:textId="77777777" w:rsidR="00A740A8" w:rsidRPr="00785C04" w:rsidRDefault="00A740A8" w:rsidP="00A740A8">
      <w:pPr>
        <w:jc w:val="both"/>
      </w:pPr>
      <w:r w:rsidRPr="00DC532B">
        <w:rPr>
          <w:b/>
        </w:rPr>
        <w:t>PRSP Pillar 2</w:t>
      </w:r>
      <w:r w:rsidRPr="00785C04">
        <w:t xml:space="preserve"> - Managing Natural Resources</w:t>
      </w:r>
    </w:p>
    <w:p w14:paraId="418241F1" w14:textId="77777777" w:rsidR="00434A75" w:rsidRDefault="00434A75" w:rsidP="00A740A8">
      <w:pPr>
        <w:jc w:val="both"/>
      </w:pPr>
    </w:p>
    <w:p w14:paraId="3D289D88" w14:textId="77777777" w:rsidR="00A740A8" w:rsidRDefault="00DC532B" w:rsidP="00A740A8">
      <w:pPr>
        <w:widowControl/>
        <w:autoSpaceDE w:val="0"/>
        <w:autoSpaceDN w:val="0"/>
        <w:adjustRightInd w:val="0"/>
        <w:rPr>
          <w:rFonts w:ascii="FuturaT-Demi" w:hAnsi="FuturaT-Demi" w:cs="FuturaT-Demi"/>
          <w:color w:val="FFFFFF"/>
          <w:sz w:val="18"/>
          <w:szCs w:val="18"/>
        </w:rPr>
      </w:pPr>
      <w:r w:rsidRPr="00DC532B">
        <w:rPr>
          <w:rFonts w:cstheme="minorHAnsi"/>
          <w:b/>
          <w:color w:val="000000"/>
        </w:rPr>
        <w:t>Outcome:</w:t>
      </w:r>
      <w:r w:rsidRPr="00B97432">
        <w:rPr>
          <w:rFonts w:cstheme="minorHAnsi"/>
          <w:color w:val="000000"/>
        </w:rPr>
        <w:t xml:space="preserve"> Natural resources are sustainably and equitably managed and threats and impacts from natural and</w:t>
      </w:r>
      <w:r>
        <w:rPr>
          <w:rFonts w:cstheme="minorHAnsi"/>
          <w:color w:val="000000"/>
        </w:rPr>
        <w:t xml:space="preserve"> man-made disasters are reduced</w:t>
      </w:r>
    </w:p>
    <w:p w14:paraId="5A304239" w14:textId="77777777" w:rsidR="00A740A8" w:rsidRDefault="00F62EA4" w:rsidP="00434A75">
      <w:pPr>
        <w:widowControl/>
        <w:autoSpaceDE w:val="0"/>
        <w:autoSpaceDN w:val="0"/>
        <w:adjustRightInd w:val="0"/>
        <w:rPr>
          <w:color w:val="000000"/>
        </w:rPr>
      </w:pPr>
      <w:r>
        <w:rPr>
          <w:rFonts w:ascii="FuturaT-Demi" w:hAnsi="FuturaT-Demi" w:cs="FuturaT-Demi"/>
          <w:color w:val="FFFFFF"/>
          <w:sz w:val="18"/>
          <w:szCs w:val="18"/>
        </w:rPr>
        <w:t>ASSUMP</w:t>
      </w:r>
    </w:p>
    <w:p w14:paraId="08695A0E" w14:textId="77777777" w:rsidR="00E703B2" w:rsidRPr="008C2F7D" w:rsidRDefault="00921B2C">
      <w:pPr>
        <w:pStyle w:val="BodyText"/>
        <w:rPr>
          <w:rFonts w:ascii="Times New Roman" w:hAnsi="Times New Roman"/>
          <w:color w:val="000000"/>
          <w:sz w:val="24"/>
          <w:szCs w:val="24"/>
        </w:rPr>
      </w:pPr>
      <w:r w:rsidRPr="008C2F7D">
        <w:rPr>
          <w:rFonts w:ascii="Times New Roman" w:hAnsi="Times New Roman"/>
          <w:color w:val="000000"/>
          <w:sz w:val="24"/>
          <w:szCs w:val="24"/>
        </w:rPr>
        <w:t xml:space="preserve">This section is a résumé of the Programme Component as approved in the Country Programme document.  It includes: </w:t>
      </w:r>
    </w:p>
    <w:p w14:paraId="4CB07A4A" w14:textId="77777777" w:rsidR="00523883" w:rsidRPr="008C2F7D" w:rsidRDefault="00921B2C" w:rsidP="00D96B74">
      <w:pPr>
        <w:pStyle w:val="BodyText"/>
        <w:numPr>
          <w:ilvl w:val="0"/>
          <w:numId w:val="11"/>
        </w:numPr>
        <w:tabs>
          <w:tab w:val="clear" w:pos="1472"/>
        </w:tabs>
        <w:ind w:left="360" w:hanging="328"/>
        <w:rPr>
          <w:rFonts w:ascii="Times New Roman" w:hAnsi="Times New Roman"/>
          <w:color w:val="000000"/>
          <w:sz w:val="24"/>
          <w:szCs w:val="24"/>
        </w:rPr>
      </w:pPr>
      <w:r w:rsidRPr="008C2F7D">
        <w:rPr>
          <w:rFonts w:ascii="Times New Roman" w:hAnsi="Times New Roman"/>
          <w:color w:val="000000"/>
          <w:sz w:val="24"/>
          <w:szCs w:val="24"/>
        </w:rPr>
        <w:t>Main objectives and outcomes expected as per the approved Country Programme Document and Country Programme Action Plan (CPAP)</w:t>
      </w:r>
    </w:p>
    <w:p w14:paraId="2950535C" w14:textId="77777777" w:rsidR="00434A75" w:rsidRPr="008C2F7D" w:rsidRDefault="00434A75" w:rsidP="00523883">
      <w:pPr>
        <w:pStyle w:val="BodyText"/>
        <w:ind w:left="360"/>
        <w:rPr>
          <w:rFonts w:ascii="Times New Roman" w:hAnsi="Times New Roman"/>
          <w:sz w:val="24"/>
          <w:szCs w:val="24"/>
        </w:rPr>
      </w:pPr>
    </w:p>
    <w:p w14:paraId="099AA82C" w14:textId="77777777" w:rsidR="00D96B74" w:rsidRPr="008C2F7D" w:rsidRDefault="00D96B74" w:rsidP="00523883">
      <w:pPr>
        <w:pStyle w:val="BodyText"/>
        <w:ind w:left="360"/>
        <w:rPr>
          <w:rFonts w:ascii="Times New Roman" w:hAnsi="Times New Roman"/>
          <w:sz w:val="24"/>
          <w:szCs w:val="24"/>
        </w:rPr>
      </w:pPr>
      <w:r w:rsidRPr="008C2F7D">
        <w:rPr>
          <w:rFonts w:ascii="Times New Roman" w:hAnsi="Times New Roman"/>
          <w:sz w:val="24"/>
          <w:szCs w:val="24"/>
        </w:rPr>
        <w:t>By 2018, targeted Government institutions, the private sector, and local communities manage natural resources in a more</w:t>
      </w:r>
      <w:r w:rsidR="00434A75" w:rsidRPr="008C2F7D">
        <w:rPr>
          <w:rFonts w:ascii="Times New Roman" w:hAnsi="Times New Roman"/>
          <w:sz w:val="24"/>
          <w:szCs w:val="24"/>
        </w:rPr>
        <w:t xml:space="preserve"> equitable and sustainable way</w:t>
      </w:r>
    </w:p>
    <w:p w14:paraId="0D3258DC" w14:textId="77777777" w:rsidR="00434A75" w:rsidRPr="008C2F7D" w:rsidRDefault="00434A75" w:rsidP="00523883">
      <w:pPr>
        <w:pStyle w:val="BodyText"/>
        <w:ind w:left="360"/>
        <w:rPr>
          <w:rFonts w:ascii="Times New Roman" w:hAnsi="Times New Roman"/>
          <w:color w:val="000000"/>
          <w:sz w:val="24"/>
          <w:szCs w:val="24"/>
        </w:rPr>
      </w:pPr>
    </w:p>
    <w:p w14:paraId="5F879E3A" w14:textId="77777777" w:rsidR="00A740A8" w:rsidRPr="008C2F7D" w:rsidRDefault="00A740A8" w:rsidP="00D96B74">
      <w:pPr>
        <w:pStyle w:val="BodyText"/>
        <w:numPr>
          <w:ilvl w:val="0"/>
          <w:numId w:val="11"/>
        </w:numPr>
        <w:tabs>
          <w:tab w:val="clear" w:pos="1472"/>
        </w:tabs>
        <w:ind w:left="360" w:hanging="328"/>
        <w:rPr>
          <w:rFonts w:ascii="Times New Roman" w:hAnsi="Times New Roman"/>
          <w:color w:val="000000"/>
          <w:sz w:val="24"/>
          <w:szCs w:val="24"/>
        </w:rPr>
      </w:pPr>
      <w:r w:rsidRPr="008C2F7D">
        <w:rPr>
          <w:rFonts w:ascii="Times New Roman" w:hAnsi="Times New Roman"/>
          <w:color w:val="000000"/>
          <w:sz w:val="24"/>
          <w:szCs w:val="24"/>
        </w:rPr>
        <w:t>The main implementing partner</w:t>
      </w:r>
      <w:r w:rsidR="000229D0" w:rsidRPr="008C2F7D">
        <w:rPr>
          <w:rFonts w:ascii="Times New Roman" w:hAnsi="Times New Roman"/>
          <w:color w:val="000000"/>
          <w:sz w:val="24"/>
          <w:szCs w:val="24"/>
        </w:rPr>
        <w:t>s</w:t>
      </w:r>
      <w:r w:rsidR="00DC532B">
        <w:rPr>
          <w:rFonts w:ascii="Times New Roman" w:hAnsi="Times New Roman"/>
          <w:color w:val="000000"/>
          <w:sz w:val="24"/>
          <w:szCs w:val="24"/>
        </w:rPr>
        <w:t>: Ministry of Water Resources</w:t>
      </w:r>
      <w:r w:rsidR="00794685">
        <w:rPr>
          <w:rFonts w:ascii="Times New Roman" w:hAnsi="Times New Roman"/>
          <w:color w:val="000000"/>
          <w:sz w:val="24"/>
          <w:szCs w:val="24"/>
        </w:rPr>
        <w:t>, Environmental Protection Agency, District Councils in Kambia, Kono ans Pujehun</w:t>
      </w:r>
      <w:r w:rsidR="002E318F" w:rsidRPr="008C2F7D">
        <w:rPr>
          <w:rFonts w:ascii="Times New Roman" w:hAnsi="Times New Roman"/>
          <w:color w:val="000000"/>
          <w:sz w:val="24"/>
          <w:szCs w:val="24"/>
        </w:rPr>
        <w:t>.</w:t>
      </w:r>
    </w:p>
    <w:p w14:paraId="70CDFAA6" w14:textId="77777777" w:rsidR="000229D0" w:rsidRPr="008C2F7D" w:rsidRDefault="000229D0" w:rsidP="00E05403">
      <w:pPr>
        <w:jc w:val="both"/>
        <w:rPr>
          <w:color w:val="000000"/>
          <w:szCs w:val="24"/>
        </w:rPr>
      </w:pPr>
    </w:p>
    <w:p w14:paraId="29159B81" w14:textId="77777777" w:rsidR="000229D0" w:rsidRPr="008C2F7D" w:rsidRDefault="00921B2C" w:rsidP="00E05403">
      <w:pPr>
        <w:jc w:val="both"/>
        <w:rPr>
          <w:szCs w:val="24"/>
        </w:rPr>
      </w:pPr>
      <w:r w:rsidRPr="008C2F7D">
        <w:rPr>
          <w:color w:val="000000"/>
          <w:szCs w:val="24"/>
        </w:rPr>
        <w:t>Reference to how the programme relates to UNDAF and how it aims to support national development goals including the Millennium development goa</w:t>
      </w:r>
      <w:r w:rsidR="00E05403" w:rsidRPr="008C2F7D">
        <w:rPr>
          <w:color w:val="000000"/>
          <w:szCs w:val="24"/>
        </w:rPr>
        <w:t>ls and PRSP goals as pertinent.</w:t>
      </w:r>
      <w:r w:rsidR="00E05403" w:rsidRPr="008C2F7D">
        <w:rPr>
          <w:szCs w:val="24"/>
        </w:rPr>
        <w:t xml:space="preserve"> </w:t>
      </w:r>
    </w:p>
    <w:p w14:paraId="3CFB7E9A" w14:textId="77777777" w:rsidR="00FF1EC9" w:rsidRDefault="00FF1EC9">
      <w:pPr>
        <w:widowControl/>
      </w:pPr>
      <w:r>
        <w:br w:type="page"/>
      </w:r>
    </w:p>
    <w:p w14:paraId="1734B283" w14:textId="77777777" w:rsidR="00E703B2" w:rsidRDefault="00921B2C">
      <w:pPr>
        <w:pStyle w:val="Heading3"/>
        <w:rPr>
          <w:b/>
          <w:bCs w:val="0"/>
        </w:rPr>
      </w:pPr>
      <w:r>
        <w:rPr>
          <w:b/>
          <w:bCs w:val="0"/>
        </w:rPr>
        <w:lastRenderedPageBreak/>
        <w:t>II.  RESOURCES</w:t>
      </w:r>
    </w:p>
    <w:p w14:paraId="5BB119E3" w14:textId="77777777" w:rsidR="00FF1EC9" w:rsidRPr="002447E2" w:rsidRDefault="00FF1EC9" w:rsidP="002447E2"/>
    <w:tbl>
      <w:tblPr>
        <w:tblW w:w="8815" w:type="dxa"/>
        <w:jc w:val="center"/>
        <w:tblLayout w:type="fixed"/>
        <w:tblLook w:val="04A0" w:firstRow="1" w:lastRow="0" w:firstColumn="1" w:lastColumn="0" w:noHBand="0" w:noVBand="1"/>
      </w:tblPr>
      <w:tblGrid>
        <w:gridCol w:w="715"/>
        <w:gridCol w:w="1620"/>
        <w:gridCol w:w="1260"/>
        <w:gridCol w:w="900"/>
        <w:gridCol w:w="1080"/>
        <w:gridCol w:w="810"/>
        <w:gridCol w:w="810"/>
        <w:gridCol w:w="810"/>
        <w:gridCol w:w="810"/>
      </w:tblGrid>
      <w:tr w:rsidR="00FF1EC9" w:rsidRPr="00FF1EC9" w14:paraId="653F8402" w14:textId="77777777" w:rsidTr="00FF1EC9">
        <w:trPr>
          <w:trHeight w:val="613"/>
          <w:jc w:val="center"/>
        </w:trPr>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3B128D" w14:textId="77777777" w:rsidR="00FF1EC9" w:rsidRPr="00FF1EC9" w:rsidRDefault="00FF1EC9" w:rsidP="00FF1EC9">
            <w:pPr>
              <w:widowControl/>
              <w:jc w:val="center"/>
              <w:rPr>
                <w:b/>
                <w:sz w:val="16"/>
              </w:rPr>
            </w:pPr>
            <w:r w:rsidRPr="00FF1EC9">
              <w:rPr>
                <w:b/>
                <w:sz w:val="16"/>
              </w:rPr>
              <w:t>Prj ID</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59437314" w14:textId="77777777" w:rsidR="00FF1EC9" w:rsidRPr="00FF1EC9" w:rsidRDefault="00FF1EC9" w:rsidP="00FF1EC9">
            <w:pPr>
              <w:widowControl/>
              <w:jc w:val="center"/>
              <w:rPr>
                <w:b/>
                <w:sz w:val="16"/>
              </w:rPr>
            </w:pPr>
            <w:r w:rsidRPr="00FF1EC9">
              <w:rPr>
                <w:b/>
                <w:sz w:val="16"/>
              </w:rPr>
              <w:t>Proj title</w:t>
            </w:r>
          </w:p>
        </w:tc>
        <w:tc>
          <w:tcPr>
            <w:tcW w:w="1260" w:type="dxa"/>
            <w:tcBorders>
              <w:top w:val="single" w:sz="4" w:space="0" w:color="auto"/>
              <w:left w:val="nil"/>
              <w:bottom w:val="single" w:sz="4" w:space="0" w:color="auto"/>
              <w:right w:val="single" w:sz="4" w:space="0" w:color="auto"/>
            </w:tcBorders>
            <w:shd w:val="clear" w:color="000000" w:fill="FFFFFF"/>
            <w:vAlign w:val="center"/>
          </w:tcPr>
          <w:p w14:paraId="0BA2A787" w14:textId="77777777" w:rsidR="00FF1EC9" w:rsidRPr="00FF1EC9" w:rsidRDefault="00FF1EC9" w:rsidP="00FF1EC9">
            <w:pPr>
              <w:widowControl/>
              <w:jc w:val="center"/>
              <w:rPr>
                <w:b/>
                <w:sz w:val="16"/>
                <w:szCs w:val="22"/>
              </w:rPr>
            </w:pPr>
            <w:r w:rsidRPr="00FF1EC9">
              <w:rPr>
                <w:b/>
                <w:sz w:val="16"/>
                <w:szCs w:val="22"/>
              </w:rPr>
              <w:t>Source of funding</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14:paraId="7A0190AD" w14:textId="77777777" w:rsidR="00FF1EC9" w:rsidRPr="00FF1EC9" w:rsidRDefault="00FF1EC9" w:rsidP="00FF1EC9">
            <w:pPr>
              <w:widowControl/>
              <w:jc w:val="center"/>
              <w:rPr>
                <w:b/>
                <w:sz w:val="16"/>
                <w:szCs w:val="22"/>
              </w:rPr>
            </w:pPr>
            <w:r w:rsidRPr="00FF1EC9">
              <w:rPr>
                <w:b/>
                <w:sz w:val="16"/>
                <w:szCs w:val="22"/>
              </w:rPr>
              <w:t>2017 Budget</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14:paraId="29182440" w14:textId="77777777" w:rsidR="00FF1EC9" w:rsidRPr="00FF1EC9" w:rsidRDefault="00FF1EC9" w:rsidP="00FF1EC9">
            <w:pPr>
              <w:widowControl/>
              <w:jc w:val="center"/>
              <w:rPr>
                <w:b/>
                <w:color w:val="000000"/>
                <w:sz w:val="16"/>
                <w:szCs w:val="22"/>
              </w:rPr>
            </w:pPr>
            <w:r w:rsidRPr="00FF1EC9">
              <w:rPr>
                <w:b/>
                <w:color w:val="000000"/>
                <w:sz w:val="16"/>
                <w:szCs w:val="22"/>
              </w:rPr>
              <w:t>Future Years Budget (2018 &amp; beyond)</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E337834" w14:textId="77777777" w:rsidR="00FF1EC9" w:rsidRPr="00FF1EC9" w:rsidRDefault="00FF1EC9" w:rsidP="00FF1EC9">
            <w:pPr>
              <w:widowControl/>
              <w:jc w:val="center"/>
              <w:rPr>
                <w:b/>
                <w:color w:val="000000"/>
                <w:sz w:val="16"/>
                <w:szCs w:val="22"/>
              </w:rPr>
            </w:pPr>
            <w:r w:rsidRPr="00FF1EC9">
              <w:rPr>
                <w:b/>
                <w:color w:val="000000"/>
                <w:sz w:val="16"/>
                <w:szCs w:val="22"/>
              </w:rPr>
              <w:t>2017 Expenditures</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7972B46" w14:textId="77777777" w:rsidR="00FF1EC9" w:rsidRPr="00FF1EC9" w:rsidRDefault="00FF1EC9" w:rsidP="00FF1EC9">
            <w:pPr>
              <w:widowControl/>
              <w:jc w:val="center"/>
              <w:rPr>
                <w:b/>
                <w:color w:val="000000"/>
                <w:sz w:val="16"/>
                <w:szCs w:val="22"/>
              </w:rPr>
            </w:pPr>
            <w:r w:rsidRPr="00FF1EC9">
              <w:rPr>
                <w:b/>
                <w:color w:val="000000"/>
                <w:sz w:val="16"/>
                <w:szCs w:val="22"/>
              </w:rPr>
              <w:t>Committements</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3D63E1BD" w14:textId="77777777" w:rsidR="00FF1EC9" w:rsidRPr="00FF1EC9" w:rsidRDefault="00FF1EC9" w:rsidP="00FF1EC9">
            <w:pPr>
              <w:widowControl/>
              <w:jc w:val="center"/>
              <w:rPr>
                <w:b/>
                <w:color w:val="000000"/>
                <w:sz w:val="16"/>
                <w:szCs w:val="22"/>
              </w:rPr>
            </w:pPr>
            <w:r w:rsidRPr="00FF1EC9">
              <w:rPr>
                <w:b/>
                <w:color w:val="000000"/>
                <w:sz w:val="16"/>
                <w:szCs w:val="22"/>
              </w:rPr>
              <w:t>Balance</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3BD7EA2D" w14:textId="77777777" w:rsidR="00FF1EC9" w:rsidRPr="00FF1EC9" w:rsidRDefault="00FF1EC9" w:rsidP="00FF1EC9">
            <w:pPr>
              <w:widowControl/>
              <w:jc w:val="center"/>
              <w:rPr>
                <w:b/>
                <w:color w:val="000000"/>
                <w:sz w:val="16"/>
                <w:szCs w:val="22"/>
              </w:rPr>
            </w:pPr>
            <w:r w:rsidRPr="00FF1EC9">
              <w:rPr>
                <w:b/>
                <w:color w:val="000000"/>
                <w:sz w:val="16"/>
                <w:szCs w:val="22"/>
              </w:rPr>
              <w:t>% Delivery</w:t>
            </w:r>
          </w:p>
        </w:tc>
      </w:tr>
      <w:tr w:rsidR="00FF1EC9" w:rsidRPr="00FF1EC9" w14:paraId="4C362EB5" w14:textId="77777777" w:rsidTr="00FF1EC9">
        <w:trPr>
          <w:trHeight w:val="613"/>
          <w:jc w:val="center"/>
        </w:trPr>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81B64" w14:textId="77777777" w:rsidR="00FF1EC9" w:rsidRPr="002447E2" w:rsidRDefault="00FF1EC9" w:rsidP="002447E2">
            <w:pPr>
              <w:widowControl/>
              <w:jc w:val="center"/>
              <w:rPr>
                <w:sz w:val="18"/>
              </w:rPr>
            </w:pPr>
            <w:r w:rsidRPr="002447E2">
              <w:rPr>
                <w:sz w:val="18"/>
              </w:rPr>
              <w:t>86632</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1FF9CED" w14:textId="77777777" w:rsidR="00FF1EC9" w:rsidRPr="002447E2" w:rsidRDefault="00FF1EC9" w:rsidP="002447E2">
            <w:pPr>
              <w:widowControl/>
              <w:rPr>
                <w:sz w:val="18"/>
              </w:rPr>
            </w:pPr>
            <w:r w:rsidRPr="002447E2">
              <w:rPr>
                <w:sz w:val="18"/>
              </w:rPr>
              <w:t>Adaptive Capacity of Water services to Climate Change</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6340286" w14:textId="77777777" w:rsidR="00FF1EC9" w:rsidRPr="002447E2" w:rsidRDefault="00FF1EC9" w:rsidP="00FF1EC9">
            <w:pPr>
              <w:widowControl/>
              <w:jc w:val="center"/>
              <w:rPr>
                <w:sz w:val="18"/>
                <w:szCs w:val="22"/>
              </w:rPr>
            </w:pPr>
            <w:r w:rsidRPr="00FF1EC9">
              <w:rPr>
                <w:sz w:val="18"/>
                <w:szCs w:val="22"/>
              </w:rPr>
              <w:t>GEF/</w:t>
            </w:r>
            <w:r w:rsidRPr="002447E2">
              <w:rPr>
                <w:sz w:val="18"/>
                <w:szCs w:val="22"/>
              </w:rPr>
              <w:t>PIMS</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14517AAA" w14:textId="77777777" w:rsidR="00FF1EC9" w:rsidRPr="002447E2" w:rsidRDefault="00FF1EC9" w:rsidP="002447E2">
            <w:pPr>
              <w:widowControl/>
              <w:jc w:val="right"/>
              <w:rPr>
                <w:sz w:val="18"/>
                <w:szCs w:val="22"/>
              </w:rPr>
            </w:pPr>
            <w:r w:rsidRPr="00FF1EC9">
              <w:rPr>
                <w:sz w:val="18"/>
                <w:szCs w:val="22"/>
              </w:rPr>
              <w:t>735,923</w:t>
            </w:r>
            <w:r w:rsidRPr="002447E2">
              <w:rPr>
                <w:sz w:val="18"/>
                <w:szCs w:val="22"/>
              </w:rPr>
              <w:t> </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4DB9723" w14:textId="77777777" w:rsidR="00FF1EC9" w:rsidRPr="002447E2" w:rsidRDefault="00FF1EC9" w:rsidP="002447E2">
            <w:pPr>
              <w:widowControl/>
              <w:rPr>
                <w:color w:val="000000"/>
                <w:sz w:val="18"/>
                <w:szCs w:val="22"/>
              </w:rPr>
            </w:pPr>
            <w:r w:rsidRPr="002447E2">
              <w:rPr>
                <w:color w:val="000000"/>
                <w:sz w:val="18"/>
                <w:szCs w:val="22"/>
              </w:rPr>
              <w:t xml:space="preserve">1,349,782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741E937" w14:textId="77777777" w:rsidR="00FF1EC9" w:rsidRPr="002447E2" w:rsidRDefault="00FF1EC9" w:rsidP="002447E2">
            <w:pPr>
              <w:widowControl/>
              <w:jc w:val="right"/>
              <w:rPr>
                <w:color w:val="000000"/>
                <w:sz w:val="18"/>
                <w:szCs w:val="22"/>
              </w:rPr>
            </w:pPr>
            <w:r w:rsidRPr="002447E2">
              <w:rPr>
                <w:color w:val="000000"/>
                <w:sz w:val="18"/>
                <w:szCs w:val="22"/>
              </w:rPr>
              <w:t>406,916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69CB21B" w14:textId="77777777" w:rsidR="00FF1EC9" w:rsidRPr="002447E2" w:rsidRDefault="00FF1EC9" w:rsidP="002447E2">
            <w:pPr>
              <w:widowControl/>
              <w:jc w:val="right"/>
              <w:rPr>
                <w:color w:val="000000"/>
                <w:sz w:val="18"/>
                <w:szCs w:val="22"/>
              </w:rPr>
            </w:pPr>
            <w:r w:rsidRPr="002447E2">
              <w:rPr>
                <w:color w:val="000000"/>
                <w:sz w:val="18"/>
                <w:szCs w:val="22"/>
              </w:rPr>
              <w:t>303,901</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04698875" w14:textId="77777777" w:rsidR="00FF1EC9" w:rsidRPr="002447E2" w:rsidRDefault="00FF1EC9" w:rsidP="002447E2">
            <w:pPr>
              <w:widowControl/>
              <w:jc w:val="right"/>
              <w:rPr>
                <w:color w:val="000000"/>
                <w:sz w:val="18"/>
                <w:szCs w:val="22"/>
              </w:rPr>
            </w:pPr>
            <w:r w:rsidRPr="002447E2">
              <w:rPr>
                <w:color w:val="000000"/>
                <w:sz w:val="18"/>
                <w:szCs w:val="22"/>
              </w:rPr>
              <w:t xml:space="preserve"> 25,106 </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5FA4B164" w14:textId="77777777" w:rsidR="00FF1EC9" w:rsidRPr="002447E2" w:rsidRDefault="00FF1EC9" w:rsidP="002447E2">
            <w:pPr>
              <w:widowControl/>
              <w:jc w:val="center"/>
              <w:rPr>
                <w:color w:val="000000"/>
                <w:sz w:val="18"/>
                <w:szCs w:val="22"/>
              </w:rPr>
            </w:pPr>
            <w:r w:rsidRPr="002447E2">
              <w:rPr>
                <w:color w:val="000000"/>
                <w:sz w:val="18"/>
                <w:szCs w:val="22"/>
              </w:rPr>
              <w:t>97%</w:t>
            </w:r>
          </w:p>
        </w:tc>
      </w:tr>
    </w:tbl>
    <w:p w14:paraId="55AAA660" w14:textId="77777777" w:rsidR="00E703B2" w:rsidRDefault="00E703B2"/>
    <w:p w14:paraId="0EBD9BCD" w14:textId="77777777" w:rsidR="00E703B2" w:rsidRDefault="00921B2C">
      <w:pPr>
        <w:pStyle w:val="Heading3"/>
        <w:rPr>
          <w:b/>
          <w:bCs w:val="0"/>
        </w:rPr>
      </w:pPr>
      <w:r>
        <w:rPr>
          <w:b/>
          <w:bCs w:val="0"/>
        </w:rPr>
        <w:t>III.  RESULTS</w:t>
      </w:r>
    </w:p>
    <w:p w14:paraId="1B0EC2AB" w14:textId="77777777" w:rsidR="00434A75" w:rsidRDefault="00434A75" w:rsidP="00E63206">
      <w:pPr>
        <w:jc w:val="both"/>
      </w:pPr>
    </w:p>
    <w:p w14:paraId="204EE0A2" w14:textId="77777777" w:rsidR="00DC4558" w:rsidRPr="00434A75" w:rsidRDefault="00794685" w:rsidP="00E63206">
      <w:pPr>
        <w:jc w:val="both"/>
        <w:rPr>
          <w:b/>
        </w:rPr>
      </w:pPr>
      <w:r w:rsidRPr="00F711E5">
        <w:rPr>
          <w:b/>
          <w:u w:val="single"/>
        </w:rPr>
        <w:t xml:space="preserve">Result </w:t>
      </w:r>
      <w:r w:rsidR="00717C12" w:rsidRPr="00F711E5">
        <w:rPr>
          <w:b/>
          <w:u w:val="single"/>
        </w:rPr>
        <w:t>1</w:t>
      </w:r>
      <w:r w:rsidRPr="00F711E5">
        <w:rPr>
          <w:b/>
          <w:u w:val="single"/>
        </w:rPr>
        <w:t>a</w:t>
      </w:r>
      <w:r w:rsidR="00434A75" w:rsidRPr="00F711E5">
        <w:rPr>
          <w:b/>
          <w:u w:val="single"/>
        </w:rPr>
        <w:t>:</w:t>
      </w:r>
      <w:r w:rsidR="006B46E0" w:rsidRPr="00434A75">
        <w:rPr>
          <w:b/>
        </w:rPr>
        <w:t xml:space="preserve"> </w:t>
      </w:r>
      <w:r w:rsidRPr="00794685">
        <w:rPr>
          <w:b/>
          <w:lang w:val="en-GB"/>
        </w:rPr>
        <w:t>More than 50 officers from relevant Institutions (MWR, EPA) and District Councils leaders provided with relevant climate risks management guidelines/tools and trained on how the results of the climate risk/vulnerability assessments</w:t>
      </w:r>
    </w:p>
    <w:p w14:paraId="0D0C5769" w14:textId="77777777" w:rsidR="00A24156" w:rsidRDefault="00A24156" w:rsidP="00E63206">
      <w:pPr>
        <w:jc w:val="both"/>
        <w:rPr>
          <w:kern w:val="24"/>
        </w:rPr>
      </w:pPr>
    </w:p>
    <w:p w14:paraId="2D81FF3C" w14:textId="77777777" w:rsidR="00E63206" w:rsidRPr="00CF6369" w:rsidRDefault="00A24156" w:rsidP="00E63206">
      <w:pPr>
        <w:jc w:val="both"/>
        <w:rPr>
          <w:kern w:val="24"/>
        </w:rPr>
      </w:pPr>
      <w:r w:rsidRPr="00A24156">
        <w:rPr>
          <w:kern w:val="24"/>
        </w:rPr>
        <w:t xml:space="preserve">Preliminary assessments and identification of needs for training and other capacity development </w:t>
      </w:r>
      <w:r>
        <w:rPr>
          <w:kern w:val="24"/>
        </w:rPr>
        <w:t>gaps in climate risk m</w:t>
      </w:r>
      <w:r w:rsidRPr="00A24156">
        <w:rPr>
          <w:kern w:val="24"/>
        </w:rPr>
        <w:t>anagement, development of learning tools, gender gaps, mapping needs and gaps in the policy and regulation arena</w:t>
      </w:r>
      <w:r>
        <w:rPr>
          <w:kern w:val="24"/>
        </w:rPr>
        <w:t xml:space="preserve"> undertaken. As a result of these preliminary assessments,</w:t>
      </w:r>
      <w:r w:rsidRPr="00A24156">
        <w:rPr>
          <w:kern w:val="24"/>
        </w:rPr>
        <w:t xml:space="preserve"> </w:t>
      </w:r>
      <w:r>
        <w:rPr>
          <w:kern w:val="24"/>
        </w:rPr>
        <w:t xml:space="preserve">government has been able to make morfe informed decisions with regard to its capacity needs and the development of detailed technical needs which have resulted in </w:t>
      </w:r>
      <w:r w:rsidRPr="00A24156">
        <w:rPr>
          <w:kern w:val="24"/>
        </w:rPr>
        <w:t>technical assistance to the Government, through an expert organisation called INTEGEM who are expected to finalise all</w:t>
      </w:r>
      <w:r>
        <w:rPr>
          <w:kern w:val="24"/>
        </w:rPr>
        <w:t xml:space="preserve"> insitu assessment and the design and implementation of all</w:t>
      </w:r>
      <w:r w:rsidRPr="00A24156">
        <w:rPr>
          <w:kern w:val="24"/>
        </w:rPr>
        <w:t xml:space="preserve"> capacity development programmes </w:t>
      </w:r>
      <w:r>
        <w:rPr>
          <w:kern w:val="24"/>
        </w:rPr>
        <w:t xml:space="preserve">for the Ministry of Water Resources and its project implementation partners </w:t>
      </w:r>
      <w:r w:rsidRPr="00A24156">
        <w:rPr>
          <w:kern w:val="24"/>
        </w:rPr>
        <w:t>in 2018</w:t>
      </w:r>
      <w:r w:rsidR="00920707">
        <w:rPr>
          <w:kern w:val="24"/>
        </w:rPr>
        <w:t>.</w:t>
      </w:r>
    </w:p>
    <w:p w14:paraId="6F295B17" w14:textId="77777777" w:rsidR="009F6585" w:rsidRDefault="009F6585" w:rsidP="00722A87">
      <w:pPr>
        <w:jc w:val="both"/>
      </w:pPr>
    </w:p>
    <w:p w14:paraId="20986756" w14:textId="77777777" w:rsidR="00071BAC" w:rsidRDefault="00F711E5" w:rsidP="00D432B7">
      <w:pPr>
        <w:widowControl/>
        <w:jc w:val="both"/>
        <w:rPr>
          <w:b/>
        </w:rPr>
      </w:pPr>
      <w:r w:rsidRPr="00F711E5">
        <w:rPr>
          <w:b/>
          <w:u w:val="single"/>
        </w:rPr>
        <w:t>Result 1c:</w:t>
      </w:r>
      <w:r>
        <w:rPr>
          <w:b/>
        </w:rPr>
        <w:t xml:space="preserve"> </w:t>
      </w:r>
      <w:r w:rsidR="00071BAC" w:rsidRPr="00071BAC">
        <w:rPr>
          <w:b/>
        </w:rPr>
        <w:t>Regular dialogues established between parliamentarians, local council members, traditional authorities, NGOs, /CBOs, and private sector on the impacts of climate on water supply in Pujehun, Kambia and Kono districts</w:t>
      </w:r>
    </w:p>
    <w:p w14:paraId="11C109F7" w14:textId="77777777" w:rsidR="00071BAC" w:rsidRDefault="00071BAC" w:rsidP="00D432B7">
      <w:pPr>
        <w:widowControl/>
        <w:jc w:val="both"/>
        <w:rPr>
          <w:b/>
        </w:rPr>
      </w:pPr>
    </w:p>
    <w:p w14:paraId="35A7F34A" w14:textId="77777777" w:rsidR="00CB5849" w:rsidRDefault="00071BAC" w:rsidP="00722A87">
      <w:pPr>
        <w:jc w:val="both"/>
      </w:pPr>
      <w:r w:rsidRPr="00071BAC">
        <w:rPr>
          <w:iCs/>
          <w:szCs w:val="24"/>
        </w:rPr>
        <w:t xml:space="preserve">Dialogues are ongoing between policy makers, local communities and CBOs on impacts of climate change on water supply. This has brought </w:t>
      </w:r>
      <w:r>
        <w:rPr>
          <w:iCs/>
          <w:szCs w:val="24"/>
        </w:rPr>
        <w:t xml:space="preserve">about </w:t>
      </w:r>
      <w:r w:rsidRPr="00071BAC">
        <w:rPr>
          <w:iCs/>
          <w:szCs w:val="24"/>
        </w:rPr>
        <w:t>awareness of local knowledge on the issue</w:t>
      </w:r>
      <w:r>
        <w:rPr>
          <w:iCs/>
          <w:szCs w:val="24"/>
        </w:rPr>
        <w:t xml:space="preserve"> of how climate change impacts on water storage, suppy and management which has</w:t>
      </w:r>
      <w:r w:rsidRPr="00071BAC">
        <w:rPr>
          <w:iCs/>
          <w:szCs w:val="24"/>
        </w:rPr>
        <w:t xml:space="preserve"> led to information being utilized in WASH planning</w:t>
      </w:r>
      <w:r>
        <w:rPr>
          <w:iCs/>
          <w:szCs w:val="24"/>
        </w:rPr>
        <w:t>, the warer supply value chain management - replenishment of</w:t>
      </w:r>
      <w:r w:rsidRPr="00071BAC">
        <w:rPr>
          <w:rFonts w:asciiTheme="minorHAnsi" w:eastAsiaTheme="minorHAnsi" w:hAnsiTheme="minorHAnsi" w:cstheme="minorBidi"/>
          <w:iCs/>
          <w:sz w:val="22"/>
          <w:szCs w:val="22"/>
        </w:rPr>
        <w:t xml:space="preserve"> </w:t>
      </w:r>
      <w:r>
        <w:rPr>
          <w:iCs/>
          <w:szCs w:val="24"/>
        </w:rPr>
        <w:t>r</w:t>
      </w:r>
      <w:r w:rsidRPr="00071BAC">
        <w:rPr>
          <w:iCs/>
          <w:szCs w:val="24"/>
        </w:rPr>
        <w:t>eservoirs</w:t>
      </w:r>
      <w:r>
        <w:rPr>
          <w:iCs/>
          <w:szCs w:val="24"/>
        </w:rPr>
        <w:t>, storage, supply and community involvement</w:t>
      </w:r>
      <w:r w:rsidRPr="00071BAC">
        <w:rPr>
          <w:iCs/>
          <w:szCs w:val="24"/>
        </w:rPr>
        <w:t>. In the long run</w:t>
      </w:r>
      <w:r>
        <w:rPr>
          <w:iCs/>
          <w:szCs w:val="24"/>
        </w:rPr>
        <w:t xml:space="preserve">, these dialugues are expected to impact on and </w:t>
      </w:r>
      <w:r w:rsidRPr="00071BAC">
        <w:rPr>
          <w:iCs/>
          <w:szCs w:val="24"/>
        </w:rPr>
        <w:t>influence bottom-up approach</w:t>
      </w:r>
      <w:r>
        <w:rPr>
          <w:iCs/>
          <w:szCs w:val="24"/>
        </w:rPr>
        <w:t>es</w:t>
      </w:r>
      <w:r w:rsidRPr="00071BAC">
        <w:rPr>
          <w:iCs/>
          <w:szCs w:val="24"/>
        </w:rPr>
        <w:t xml:space="preserve"> in decision making as communities and </w:t>
      </w:r>
      <w:r>
        <w:rPr>
          <w:iCs/>
          <w:szCs w:val="24"/>
        </w:rPr>
        <w:t>orther p</w:t>
      </w:r>
      <w:r w:rsidRPr="00071BAC">
        <w:rPr>
          <w:iCs/>
          <w:szCs w:val="24"/>
        </w:rPr>
        <w:t>layers and stakeholders</w:t>
      </w:r>
      <w:r>
        <w:rPr>
          <w:iCs/>
          <w:szCs w:val="24"/>
        </w:rPr>
        <w:t xml:space="preserve">, such as the private sector will be more aware </w:t>
      </w:r>
      <w:r w:rsidRPr="00071BAC">
        <w:rPr>
          <w:iCs/>
          <w:szCs w:val="24"/>
        </w:rPr>
        <w:t>of climate risk management</w:t>
      </w:r>
      <w:r w:rsidR="00F711E5">
        <w:rPr>
          <w:iCs/>
          <w:szCs w:val="24"/>
        </w:rPr>
        <w:t xml:space="preserve"> and opportunities as a result of mitigating activities.</w:t>
      </w:r>
    </w:p>
    <w:p w14:paraId="072D3E52" w14:textId="77777777" w:rsidR="00CB5849" w:rsidRDefault="00CB5849" w:rsidP="00722A87">
      <w:pPr>
        <w:jc w:val="both"/>
      </w:pPr>
    </w:p>
    <w:p w14:paraId="6DBC7A7F" w14:textId="77777777" w:rsidR="00F711E5" w:rsidRDefault="00F711E5" w:rsidP="00F711E5">
      <w:pPr>
        <w:rPr>
          <w:b/>
          <w:iCs/>
        </w:rPr>
      </w:pPr>
      <w:r w:rsidRPr="00F711E5">
        <w:rPr>
          <w:b/>
          <w:u w:val="single"/>
        </w:rPr>
        <w:t>Result 1d:</w:t>
      </w:r>
      <w:r>
        <w:rPr>
          <w:b/>
        </w:rPr>
        <w:t xml:space="preserve"> </w:t>
      </w:r>
      <w:r w:rsidRPr="00F711E5">
        <w:rPr>
          <w:b/>
        </w:rPr>
        <w:t xml:space="preserve">At least two dialogues under the Sierra Leone Business  Forum and WASH Donors Investment Platforms initiated </w:t>
      </w:r>
      <w:r>
        <w:rPr>
          <w:b/>
        </w:rPr>
        <w:t>on</w:t>
      </w:r>
      <w:r w:rsidRPr="00F711E5">
        <w:rPr>
          <w:b/>
        </w:rPr>
        <w:t xml:space="preserve"> managing climate change risk </w:t>
      </w:r>
      <w:r>
        <w:rPr>
          <w:b/>
        </w:rPr>
        <w:t>for</w:t>
      </w:r>
      <w:r w:rsidRPr="00F711E5">
        <w:rPr>
          <w:b/>
        </w:rPr>
        <w:t xml:space="preserve"> water provision and usage</w:t>
      </w:r>
      <w:r w:rsidRPr="00F711E5">
        <w:rPr>
          <w:b/>
          <w:iCs/>
        </w:rPr>
        <w:t xml:space="preserve"> </w:t>
      </w:r>
    </w:p>
    <w:p w14:paraId="72B44881" w14:textId="77777777" w:rsidR="00E91CE7" w:rsidRDefault="00E91CE7" w:rsidP="00F711E5">
      <w:pPr>
        <w:rPr>
          <w:b/>
          <w:iCs/>
        </w:rPr>
      </w:pPr>
    </w:p>
    <w:p w14:paraId="094E6C23" w14:textId="77777777" w:rsidR="00F711E5" w:rsidRDefault="00E91CE7" w:rsidP="00F711E5">
      <w:pPr>
        <w:rPr>
          <w:b/>
          <w:iCs/>
        </w:rPr>
      </w:pPr>
      <w:r>
        <w:rPr>
          <w:b/>
          <w:iCs/>
        </w:rPr>
        <w:t>and</w:t>
      </w:r>
    </w:p>
    <w:p w14:paraId="20972427" w14:textId="77777777" w:rsidR="00E91CE7" w:rsidRDefault="00E91CE7" w:rsidP="00E91CE7">
      <w:pPr>
        <w:rPr>
          <w:b/>
        </w:rPr>
      </w:pPr>
    </w:p>
    <w:p w14:paraId="6152B0CD" w14:textId="77777777" w:rsidR="00E91CE7" w:rsidRPr="00A377CB" w:rsidRDefault="00E91CE7" w:rsidP="00E91CE7">
      <w:pPr>
        <w:rPr>
          <w:b/>
        </w:rPr>
      </w:pPr>
      <w:r w:rsidRPr="00E91CE7">
        <w:rPr>
          <w:b/>
          <w:u w:val="single"/>
        </w:rPr>
        <w:t>Result 1e:</w:t>
      </w:r>
      <w:r>
        <w:rPr>
          <w:b/>
        </w:rPr>
        <w:t xml:space="preserve"> Relevant </w:t>
      </w:r>
      <w:r w:rsidRPr="00E91CE7">
        <w:rPr>
          <w:b/>
        </w:rPr>
        <w:t>lessons from oriented climate resilient water infrastructure and management practices</w:t>
      </w:r>
      <w:r>
        <w:rPr>
          <w:b/>
        </w:rPr>
        <w:t xml:space="preserve"> </w:t>
      </w:r>
      <w:r w:rsidRPr="00E91CE7">
        <w:rPr>
          <w:b/>
        </w:rPr>
        <w:t>identified, and widely shared</w:t>
      </w:r>
      <w:r>
        <w:rPr>
          <w:b/>
        </w:rPr>
        <w:t xml:space="preserve"> </w:t>
      </w:r>
      <w:r w:rsidRPr="00E91CE7">
        <w:rPr>
          <w:b/>
        </w:rPr>
        <w:t>to facilitate replication in other vulnerable areas</w:t>
      </w:r>
    </w:p>
    <w:p w14:paraId="3C559100" w14:textId="77777777" w:rsidR="00E91CE7" w:rsidRDefault="00E91CE7" w:rsidP="00F711E5">
      <w:pPr>
        <w:jc w:val="both"/>
        <w:rPr>
          <w:iCs/>
        </w:rPr>
      </w:pPr>
    </w:p>
    <w:p w14:paraId="39A86F63" w14:textId="77777777" w:rsidR="00F711E5" w:rsidRPr="00F711E5" w:rsidRDefault="00F711E5" w:rsidP="00F711E5">
      <w:pPr>
        <w:jc w:val="both"/>
        <w:rPr>
          <w:iCs/>
        </w:rPr>
      </w:pPr>
      <w:r>
        <w:rPr>
          <w:iCs/>
        </w:rPr>
        <w:t>Preliminary n</w:t>
      </w:r>
      <w:r w:rsidRPr="00F711E5">
        <w:rPr>
          <w:iCs/>
        </w:rPr>
        <w:t xml:space="preserve">eeds have been identified </w:t>
      </w:r>
      <w:r>
        <w:rPr>
          <w:iCs/>
        </w:rPr>
        <w:t xml:space="preserve">which have facilitated government and partner decsions </w:t>
      </w:r>
      <w:r>
        <w:rPr>
          <w:iCs/>
        </w:rPr>
        <w:lastRenderedPageBreak/>
        <w:t xml:space="preserve">on elaborating </w:t>
      </w:r>
      <w:r w:rsidRPr="00F711E5">
        <w:rPr>
          <w:iCs/>
        </w:rPr>
        <w:t>a terms of reference</w:t>
      </w:r>
      <w:r>
        <w:rPr>
          <w:iCs/>
        </w:rPr>
        <w:t xml:space="preserve"> and possible topical issues. Government, through the project is currently in the process of sourcing </w:t>
      </w:r>
      <w:r w:rsidRPr="00F711E5">
        <w:rPr>
          <w:iCs/>
        </w:rPr>
        <w:t>technical assistance</w:t>
      </w:r>
      <w:r w:rsidR="002E50BA">
        <w:rPr>
          <w:iCs/>
        </w:rPr>
        <w:t xml:space="preserve"> to fully map stakeholders, design and faciluitate the setting of, and possibly institutionalizing, the policy, practice and private sector interface dialogues</w:t>
      </w:r>
      <w:r w:rsidRPr="00F711E5">
        <w:rPr>
          <w:iCs/>
        </w:rPr>
        <w:t>. This will be undertaken in 2018.</w:t>
      </w:r>
    </w:p>
    <w:p w14:paraId="0DC60042" w14:textId="77777777" w:rsidR="00F83933" w:rsidRDefault="00F83933" w:rsidP="004B72D4">
      <w:pPr>
        <w:jc w:val="both"/>
      </w:pPr>
    </w:p>
    <w:p w14:paraId="0004AEE9" w14:textId="77777777" w:rsidR="00E91CE7" w:rsidRDefault="00E91CE7" w:rsidP="00E91CE7">
      <w:pPr>
        <w:widowControl/>
        <w:jc w:val="both"/>
        <w:rPr>
          <w:b/>
          <w:iCs/>
        </w:rPr>
      </w:pPr>
      <w:r w:rsidRPr="00E91CE7">
        <w:rPr>
          <w:b/>
          <w:iCs/>
          <w:u w:val="single"/>
        </w:rPr>
        <w:t>Result 2a</w:t>
      </w:r>
      <w:r>
        <w:rPr>
          <w:b/>
          <w:iCs/>
          <w:u w:val="single"/>
        </w:rPr>
        <w:t>:</w:t>
      </w:r>
      <w:r w:rsidRPr="00E91CE7">
        <w:rPr>
          <w:b/>
          <w:iCs/>
        </w:rPr>
        <w:t xml:space="preserve"> Pilot demonstrations of innovative climate resilience rainwater collection in at least 3 public buildings with reservoirs established to support the bottleneck of drink water supply in the dry season</w:t>
      </w:r>
      <w:r>
        <w:rPr>
          <w:b/>
          <w:iCs/>
        </w:rPr>
        <w:t xml:space="preserve">. </w:t>
      </w:r>
      <w:r w:rsidRPr="00E91CE7">
        <w:rPr>
          <w:b/>
          <w:iCs/>
        </w:rPr>
        <w:t>Training of Water Quality</w:t>
      </w:r>
      <w:r>
        <w:rPr>
          <w:b/>
          <w:iCs/>
        </w:rPr>
        <w:t xml:space="preserve"> Technicians. </w:t>
      </w:r>
      <w:r w:rsidRPr="00E91CE7">
        <w:rPr>
          <w:b/>
          <w:iCs/>
        </w:rPr>
        <w:t>Procurement of Water Quality Training Chem</w:t>
      </w:r>
      <w:r>
        <w:rPr>
          <w:b/>
          <w:iCs/>
        </w:rPr>
        <w:t>ical</w:t>
      </w:r>
    </w:p>
    <w:p w14:paraId="4EB6C655" w14:textId="77777777" w:rsidR="00E91CE7" w:rsidRPr="00E91CE7" w:rsidRDefault="00E91CE7" w:rsidP="00E91CE7">
      <w:pPr>
        <w:widowControl/>
        <w:jc w:val="both"/>
        <w:rPr>
          <w:b/>
          <w:iCs/>
        </w:rPr>
      </w:pPr>
    </w:p>
    <w:p w14:paraId="54E392BB" w14:textId="77777777" w:rsidR="00E91CE7" w:rsidRPr="00E91CE7" w:rsidRDefault="00E91CE7" w:rsidP="00E91CE7">
      <w:pPr>
        <w:widowControl/>
        <w:jc w:val="both"/>
        <w:rPr>
          <w:iCs/>
        </w:rPr>
      </w:pPr>
      <w:r w:rsidRPr="00E91CE7">
        <w:rPr>
          <w:iCs/>
        </w:rPr>
        <w:t xml:space="preserve">The adoption of innovative technologies and techniques in rain water harvesting, storage, and distribution has been completed. </w:t>
      </w:r>
      <w:r w:rsidR="00512361">
        <w:rPr>
          <w:iCs/>
        </w:rPr>
        <w:t xml:space="preserve">The impact of these technologies on the overall supply and management of water is expected to be felt from 2018 onwards. </w:t>
      </w:r>
      <w:r w:rsidRPr="00E91CE7">
        <w:rPr>
          <w:iCs/>
        </w:rPr>
        <w:t>The process of procuring experts for the construction of these technologies is ongoing. The infrastructure is planned for commissioning in 2018.</w:t>
      </w:r>
    </w:p>
    <w:p w14:paraId="3980EE32" w14:textId="77777777" w:rsidR="00E91CE7" w:rsidRPr="00E91CE7" w:rsidRDefault="00E91CE7" w:rsidP="00E91CE7">
      <w:pPr>
        <w:widowControl/>
        <w:jc w:val="both"/>
        <w:rPr>
          <w:iCs/>
        </w:rPr>
      </w:pPr>
    </w:p>
    <w:p w14:paraId="223EBAF9" w14:textId="77777777" w:rsidR="00512361" w:rsidRPr="008C2F7D" w:rsidRDefault="00E91CE7" w:rsidP="00512361">
      <w:pPr>
        <w:widowControl/>
        <w:jc w:val="both"/>
        <w:rPr>
          <w:iCs/>
        </w:rPr>
      </w:pPr>
      <w:r w:rsidRPr="00E91CE7">
        <w:rPr>
          <w:iCs/>
        </w:rPr>
        <w:t>Technical capacities</w:t>
      </w:r>
      <w:r w:rsidR="00512361">
        <w:rPr>
          <w:iCs/>
        </w:rPr>
        <w:t xml:space="preserve"> for training experts in water quality management has been</w:t>
      </w:r>
      <w:r w:rsidRPr="00E91CE7">
        <w:rPr>
          <w:iCs/>
        </w:rPr>
        <w:t xml:space="preserve"> enhanced at the University of Sierra Leone and in government departments - Training on water quality has</w:t>
      </w:r>
      <w:r w:rsidR="00512361">
        <w:rPr>
          <w:iCs/>
        </w:rPr>
        <w:t xml:space="preserve"> so far</w:t>
      </w:r>
      <w:r w:rsidRPr="00E91CE7">
        <w:rPr>
          <w:iCs/>
        </w:rPr>
        <w:t xml:space="preserve"> been undertaken and it is envisaged that </w:t>
      </w:r>
      <w:r w:rsidR="00512361">
        <w:rPr>
          <w:iCs/>
        </w:rPr>
        <w:t xml:space="preserve">the adoption and </w:t>
      </w:r>
      <w:r w:rsidRPr="00E91CE7">
        <w:rPr>
          <w:iCs/>
        </w:rPr>
        <w:t>utiliz</w:t>
      </w:r>
      <w:r w:rsidR="00512361">
        <w:rPr>
          <w:iCs/>
        </w:rPr>
        <w:t xml:space="preserve">ation of </w:t>
      </w:r>
      <w:r w:rsidRPr="00E91CE7">
        <w:rPr>
          <w:iCs/>
        </w:rPr>
        <w:t>the</w:t>
      </w:r>
      <w:r w:rsidR="00512361">
        <w:rPr>
          <w:iCs/>
        </w:rPr>
        <w:t>se</w:t>
      </w:r>
      <w:r w:rsidRPr="00E91CE7">
        <w:rPr>
          <w:iCs/>
        </w:rPr>
        <w:t xml:space="preserve"> technologies</w:t>
      </w:r>
      <w:r w:rsidR="00512361">
        <w:rPr>
          <w:iCs/>
        </w:rPr>
        <w:t xml:space="preserve"> will be </w:t>
      </w:r>
      <w:r w:rsidRPr="00E91CE7">
        <w:rPr>
          <w:iCs/>
        </w:rPr>
        <w:t>adopted</w:t>
      </w:r>
      <w:r w:rsidR="00512361">
        <w:rPr>
          <w:iCs/>
        </w:rPr>
        <w:t xml:space="preserve"> and adapted with the </w:t>
      </w:r>
      <w:r w:rsidRPr="00E91CE7">
        <w:rPr>
          <w:iCs/>
        </w:rPr>
        <w:t>commission</w:t>
      </w:r>
      <w:r w:rsidR="00512361">
        <w:rPr>
          <w:iCs/>
        </w:rPr>
        <w:t xml:space="preserve">ing of the innovative infrastructures in 2018. </w:t>
      </w:r>
    </w:p>
    <w:p w14:paraId="5B97AEE2" w14:textId="77777777" w:rsidR="00061026" w:rsidRPr="00512361" w:rsidRDefault="00061026" w:rsidP="00512361">
      <w:pPr>
        <w:jc w:val="both"/>
        <w:rPr>
          <w:iCs/>
        </w:rPr>
      </w:pPr>
    </w:p>
    <w:p w14:paraId="651CF86E" w14:textId="77777777" w:rsidR="00061026" w:rsidRPr="008C2F7D" w:rsidRDefault="00512361" w:rsidP="007E477E">
      <w:pPr>
        <w:keepNext/>
        <w:keepLines/>
        <w:rPr>
          <w:b/>
          <w:iCs/>
        </w:rPr>
      </w:pPr>
      <w:r>
        <w:rPr>
          <w:b/>
          <w:iCs/>
        </w:rPr>
        <w:t xml:space="preserve">Result 2b: </w:t>
      </w:r>
      <w:r w:rsidRPr="00512361">
        <w:rPr>
          <w:b/>
          <w:iCs/>
        </w:rPr>
        <w:t>Spring water improvement designed, tested and demonstrated in high density area in Freetown</w:t>
      </w:r>
      <w:r>
        <w:rPr>
          <w:b/>
          <w:iCs/>
        </w:rPr>
        <w:t xml:space="preserve">: Reduced water supply interruptions, improved water quality for at least </w:t>
      </w:r>
      <w:r w:rsidRPr="00512361">
        <w:rPr>
          <w:b/>
          <w:iCs/>
        </w:rPr>
        <w:t>200 households</w:t>
      </w:r>
      <w:r>
        <w:rPr>
          <w:b/>
          <w:iCs/>
        </w:rPr>
        <w:t xml:space="preserve"> in the Freetown area</w:t>
      </w:r>
    </w:p>
    <w:p w14:paraId="2373761E" w14:textId="77777777" w:rsidR="007D5C18" w:rsidRDefault="007D5C18" w:rsidP="007D5C18">
      <w:pPr>
        <w:jc w:val="both"/>
      </w:pPr>
    </w:p>
    <w:p w14:paraId="1F8734CB" w14:textId="77777777" w:rsidR="00A940F0" w:rsidRDefault="007D5C18" w:rsidP="00A940F0">
      <w:pPr>
        <w:jc w:val="both"/>
      </w:pPr>
      <w:r w:rsidRPr="004E200F">
        <w:t>Preliminary needs</w:t>
      </w:r>
      <w:r>
        <w:t xml:space="preserve"> for improved spring water management designs</w:t>
      </w:r>
      <w:r w:rsidRPr="004E200F">
        <w:t xml:space="preserve"> identified</w:t>
      </w:r>
      <w:r>
        <w:t>. This has</w:t>
      </w:r>
      <w:r w:rsidRPr="004E200F">
        <w:t xml:space="preserve"> led to the development of detailed ToRs which will</w:t>
      </w:r>
      <w:r>
        <w:t xml:space="preserve"> result in the detailed designs, feasibility and installation of </w:t>
      </w:r>
      <w:r w:rsidRPr="004E200F">
        <w:t>the improvements.</w:t>
      </w:r>
      <w:r>
        <w:t xml:space="preserve"> It is also expected that recommendations community involvement in the installation and management </w:t>
      </w:r>
      <w:r w:rsidR="00A940F0">
        <w:t xml:space="preserve">will be provided to ensure ownership and sustainability. </w:t>
      </w:r>
      <w:r w:rsidRPr="004E200F">
        <w:t xml:space="preserve">Technical </w:t>
      </w:r>
      <w:r w:rsidR="00A940F0">
        <w:t xml:space="preserve">expertise to facilitate this </w:t>
      </w:r>
      <w:r w:rsidRPr="004E200F">
        <w:t xml:space="preserve">process </w:t>
      </w:r>
      <w:r w:rsidR="00A940F0">
        <w:t>is expected to be onboard early 2018.</w:t>
      </w:r>
    </w:p>
    <w:p w14:paraId="210105B2" w14:textId="77777777" w:rsidR="00A940F0" w:rsidRPr="00A940F0" w:rsidRDefault="00A940F0" w:rsidP="00A940F0">
      <w:pPr>
        <w:jc w:val="both"/>
      </w:pPr>
    </w:p>
    <w:p w14:paraId="3F444F1D" w14:textId="77777777" w:rsidR="007E477E" w:rsidRPr="008C2F7D" w:rsidRDefault="00A940F0" w:rsidP="007079CA">
      <w:pPr>
        <w:keepNext/>
        <w:keepLines/>
        <w:jc w:val="both"/>
        <w:rPr>
          <w:b/>
          <w:iCs/>
          <w:szCs w:val="24"/>
        </w:rPr>
      </w:pPr>
      <w:r>
        <w:rPr>
          <w:b/>
          <w:iCs/>
          <w:szCs w:val="24"/>
        </w:rPr>
        <w:t>Result 2c: S</w:t>
      </w:r>
      <w:r w:rsidRPr="00A940F0">
        <w:rPr>
          <w:b/>
          <w:iCs/>
          <w:szCs w:val="24"/>
        </w:rPr>
        <w:t xml:space="preserve">ustainable </w:t>
      </w:r>
      <w:r w:rsidR="00F70767">
        <w:rPr>
          <w:b/>
          <w:iCs/>
          <w:szCs w:val="24"/>
        </w:rPr>
        <w:t>community reservoirs with stand-</w:t>
      </w:r>
      <w:r w:rsidRPr="00A940F0">
        <w:rPr>
          <w:b/>
          <w:iCs/>
          <w:szCs w:val="24"/>
        </w:rPr>
        <w:t xml:space="preserve">alone roof-top rainwater harvesting system, as well as </w:t>
      </w:r>
      <w:r w:rsidR="00F70767">
        <w:rPr>
          <w:b/>
          <w:iCs/>
          <w:szCs w:val="24"/>
        </w:rPr>
        <w:t xml:space="preserve">resilient </w:t>
      </w:r>
      <w:r w:rsidRPr="00A940F0">
        <w:rPr>
          <w:b/>
          <w:iCs/>
          <w:szCs w:val="24"/>
        </w:rPr>
        <w:t>gravity</w:t>
      </w:r>
      <w:r w:rsidR="00F70767">
        <w:rPr>
          <w:b/>
          <w:iCs/>
          <w:szCs w:val="24"/>
        </w:rPr>
        <w:t>-</w:t>
      </w:r>
      <w:r w:rsidRPr="00A940F0">
        <w:rPr>
          <w:b/>
          <w:iCs/>
          <w:szCs w:val="24"/>
        </w:rPr>
        <w:t>fed water distribution systems designed and pioneered in Kono, Kambia and Pujehun</w:t>
      </w:r>
    </w:p>
    <w:p w14:paraId="3A9BD005" w14:textId="77777777" w:rsidR="00246B5D" w:rsidRPr="008C2F7D" w:rsidRDefault="00246B5D" w:rsidP="007079CA">
      <w:pPr>
        <w:keepNext/>
        <w:keepLines/>
        <w:jc w:val="both"/>
        <w:rPr>
          <w:i/>
          <w:iCs/>
          <w:szCs w:val="24"/>
        </w:rPr>
      </w:pPr>
    </w:p>
    <w:p w14:paraId="06882A69" w14:textId="77777777" w:rsidR="00F70767" w:rsidRDefault="00F70767" w:rsidP="00F70767">
      <w:pPr>
        <w:keepNext/>
        <w:keepLines/>
        <w:jc w:val="both"/>
        <w:rPr>
          <w:iCs/>
          <w:szCs w:val="24"/>
        </w:rPr>
      </w:pPr>
      <w:r w:rsidRPr="00F70767">
        <w:rPr>
          <w:iCs/>
          <w:szCs w:val="24"/>
        </w:rPr>
        <w:t>Preliminary technical specifications of designs identified.</w:t>
      </w:r>
      <w:r>
        <w:rPr>
          <w:iCs/>
          <w:szCs w:val="24"/>
        </w:rPr>
        <w:t xml:space="preserve"> The process of adapting them to local conditions in Sierra Leone has begun with the development of </w:t>
      </w:r>
      <w:r w:rsidRPr="00F70767">
        <w:rPr>
          <w:iCs/>
          <w:szCs w:val="24"/>
        </w:rPr>
        <w:t xml:space="preserve"> ToRs</w:t>
      </w:r>
      <w:r>
        <w:rPr>
          <w:iCs/>
          <w:szCs w:val="24"/>
        </w:rPr>
        <w:t xml:space="preserve"> that will facilitate onboarding technical expertise in 2018.</w:t>
      </w:r>
      <w:r w:rsidRPr="00F70767">
        <w:rPr>
          <w:iCs/>
          <w:szCs w:val="24"/>
        </w:rPr>
        <w:t xml:space="preserve"> All technologies</w:t>
      </w:r>
      <w:r>
        <w:rPr>
          <w:iCs/>
          <w:szCs w:val="24"/>
        </w:rPr>
        <w:t>, and accompanying capacity development actions are</w:t>
      </w:r>
      <w:r w:rsidRPr="00F70767">
        <w:rPr>
          <w:iCs/>
          <w:szCs w:val="24"/>
        </w:rPr>
        <w:t xml:space="preserve"> expected to be installed in 2018</w:t>
      </w:r>
      <w:r>
        <w:rPr>
          <w:iCs/>
          <w:szCs w:val="24"/>
        </w:rPr>
        <w:t>.</w:t>
      </w:r>
    </w:p>
    <w:p w14:paraId="30CFA269" w14:textId="77777777" w:rsidR="00F70767" w:rsidRDefault="00F70767" w:rsidP="00F70767">
      <w:pPr>
        <w:keepNext/>
        <w:keepLines/>
        <w:jc w:val="both"/>
        <w:rPr>
          <w:iCs/>
          <w:szCs w:val="24"/>
        </w:rPr>
      </w:pPr>
    </w:p>
    <w:p w14:paraId="28966CB0" w14:textId="77777777" w:rsidR="00F70767" w:rsidRDefault="00F70767" w:rsidP="00F70767">
      <w:pPr>
        <w:keepNext/>
        <w:keepLines/>
        <w:jc w:val="both"/>
        <w:rPr>
          <w:iCs/>
          <w:szCs w:val="24"/>
        </w:rPr>
      </w:pPr>
      <w:r>
        <w:rPr>
          <w:iCs/>
          <w:szCs w:val="24"/>
        </w:rPr>
        <w:t>For all results (above), g</w:t>
      </w:r>
      <w:r w:rsidRPr="00F70767">
        <w:rPr>
          <w:iCs/>
          <w:szCs w:val="24"/>
        </w:rPr>
        <w:t xml:space="preserve">ender assessments on technical </w:t>
      </w:r>
      <w:r w:rsidR="007D65D7">
        <w:rPr>
          <w:iCs/>
          <w:szCs w:val="24"/>
        </w:rPr>
        <w:t xml:space="preserve">and managerial aspects of the technologies and </w:t>
      </w:r>
      <w:r w:rsidRPr="00F70767">
        <w:rPr>
          <w:iCs/>
          <w:szCs w:val="24"/>
        </w:rPr>
        <w:t>innovati</w:t>
      </w:r>
      <w:r w:rsidR="007D65D7">
        <w:rPr>
          <w:iCs/>
          <w:szCs w:val="24"/>
        </w:rPr>
        <w:t>ons regarding access, decision-making,</w:t>
      </w:r>
      <w:r w:rsidRPr="00F70767">
        <w:rPr>
          <w:iCs/>
          <w:szCs w:val="24"/>
        </w:rPr>
        <w:t xml:space="preserve"> livelihoods development</w:t>
      </w:r>
      <w:r w:rsidR="007D65D7">
        <w:rPr>
          <w:iCs/>
          <w:szCs w:val="24"/>
        </w:rPr>
        <w:t xml:space="preserve">,  </w:t>
      </w:r>
      <w:r w:rsidRPr="00F70767">
        <w:rPr>
          <w:iCs/>
          <w:szCs w:val="24"/>
        </w:rPr>
        <w:t>install</w:t>
      </w:r>
      <w:r w:rsidR="007D65D7">
        <w:rPr>
          <w:iCs/>
          <w:szCs w:val="24"/>
        </w:rPr>
        <w:t>ations will be undertaken in 2018</w:t>
      </w:r>
      <w:r w:rsidRPr="00F70767">
        <w:rPr>
          <w:iCs/>
          <w:szCs w:val="24"/>
        </w:rPr>
        <w:t>. Th</w:t>
      </w:r>
      <w:r w:rsidR="007D65D7">
        <w:rPr>
          <w:iCs/>
          <w:szCs w:val="24"/>
        </w:rPr>
        <w:t>e</w:t>
      </w:r>
      <w:r w:rsidRPr="00F70767">
        <w:rPr>
          <w:iCs/>
          <w:szCs w:val="24"/>
        </w:rPr>
        <w:t>s</w:t>
      </w:r>
      <w:r w:rsidR="007D65D7">
        <w:rPr>
          <w:iCs/>
          <w:szCs w:val="24"/>
        </w:rPr>
        <w:t>e will inform key decisions</w:t>
      </w:r>
      <w:r w:rsidRPr="00F70767">
        <w:rPr>
          <w:iCs/>
          <w:szCs w:val="24"/>
        </w:rPr>
        <w:t xml:space="preserve"> on the scaling and replicating the </w:t>
      </w:r>
      <w:r w:rsidR="007D65D7">
        <w:rPr>
          <w:iCs/>
          <w:szCs w:val="24"/>
        </w:rPr>
        <w:t>innovations.</w:t>
      </w:r>
    </w:p>
    <w:p w14:paraId="2DD46DE9" w14:textId="77777777" w:rsidR="001001CC" w:rsidRDefault="001001CC" w:rsidP="0021369E">
      <w:pPr>
        <w:pStyle w:val="BodyText2"/>
        <w:jc w:val="both"/>
        <w:rPr>
          <w:rFonts w:ascii="Times New Roman" w:hAnsi="Times New Roman"/>
          <w:sz w:val="24"/>
        </w:rPr>
      </w:pPr>
    </w:p>
    <w:p w14:paraId="4989528B" w14:textId="77777777" w:rsidR="00FF1EC9" w:rsidRDefault="00FF1EC9" w:rsidP="0021369E">
      <w:pPr>
        <w:pStyle w:val="BodyText2"/>
        <w:jc w:val="both"/>
        <w:rPr>
          <w:rFonts w:cs="Arial"/>
          <w:b/>
          <w:sz w:val="24"/>
        </w:rPr>
      </w:pPr>
    </w:p>
    <w:p w14:paraId="3430829A" w14:textId="77777777" w:rsidR="00FF1EC9" w:rsidRDefault="00FF1EC9" w:rsidP="0021369E">
      <w:pPr>
        <w:pStyle w:val="BodyText2"/>
        <w:jc w:val="both"/>
        <w:rPr>
          <w:rFonts w:cs="Arial"/>
          <w:b/>
          <w:sz w:val="24"/>
        </w:rPr>
      </w:pPr>
    </w:p>
    <w:p w14:paraId="440F1B32" w14:textId="77777777" w:rsidR="00FF1EC9" w:rsidRDefault="00FF1EC9" w:rsidP="0021369E">
      <w:pPr>
        <w:pStyle w:val="BodyText2"/>
        <w:jc w:val="both"/>
        <w:rPr>
          <w:rFonts w:cs="Arial"/>
          <w:b/>
          <w:sz w:val="24"/>
        </w:rPr>
      </w:pPr>
    </w:p>
    <w:p w14:paraId="1293316C" w14:textId="77777777" w:rsidR="001001CC" w:rsidRDefault="001001CC" w:rsidP="0021369E">
      <w:pPr>
        <w:pStyle w:val="BodyText2"/>
        <w:jc w:val="both"/>
        <w:rPr>
          <w:rFonts w:cs="Arial"/>
          <w:b/>
          <w:sz w:val="24"/>
        </w:rPr>
      </w:pPr>
      <w:r w:rsidRPr="001001CC">
        <w:rPr>
          <w:rFonts w:cs="Arial"/>
          <w:b/>
          <w:sz w:val="24"/>
        </w:rPr>
        <w:lastRenderedPageBreak/>
        <w:t xml:space="preserve">IV. </w:t>
      </w:r>
      <w:r w:rsidR="009D36FD">
        <w:rPr>
          <w:rFonts w:cs="Arial"/>
          <w:b/>
          <w:sz w:val="24"/>
        </w:rPr>
        <w:t xml:space="preserve">CHALLENGES AND </w:t>
      </w:r>
      <w:r w:rsidRPr="001001CC">
        <w:rPr>
          <w:rFonts w:cs="Arial"/>
          <w:b/>
          <w:sz w:val="24"/>
        </w:rPr>
        <w:t>LESSONS LEARNT</w:t>
      </w:r>
    </w:p>
    <w:p w14:paraId="33DBB10F" w14:textId="77777777" w:rsidR="0021369E" w:rsidRDefault="007D65D7" w:rsidP="0021369E">
      <w:pPr>
        <w:pStyle w:val="ListParagraph"/>
        <w:numPr>
          <w:ilvl w:val="0"/>
          <w:numId w:val="20"/>
        </w:numPr>
        <w:jc w:val="both"/>
        <w:rPr>
          <w:rFonts w:ascii="Times New Roman" w:hAnsi="Times New Roman"/>
          <w:sz w:val="24"/>
          <w:lang w:val="en-US"/>
        </w:rPr>
      </w:pPr>
      <w:r w:rsidRPr="007D65D7">
        <w:rPr>
          <w:rFonts w:ascii="Times New Roman" w:hAnsi="Times New Roman"/>
          <w:sz w:val="24"/>
          <w:lang w:val="en-US"/>
        </w:rPr>
        <w:t>Full implementation of quarter plans could not be achieved due to delays in procurement process</w:t>
      </w:r>
      <w:r>
        <w:rPr>
          <w:rFonts w:ascii="Times New Roman" w:hAnsi="Times New Roman"/>
          <w:sz w:val="24"/>
          <w:lang w:val="en-US"/>
        </w:rPr>
        <w:t>es</w:t>
      </w:r>
      <w:r w:rsidRPr="007D65D7">
        <w:rPr>
          <w:rFonts w:ascii="Times New Roman" w:hAnsi="Times New Roman"/>
          <w:sz w:val="24"/>
          <w:lang w:val="en-US"/>
        </w:rPr>
        <w:t xml:space="preserve">. </w:t>
      </w:r>
      <w:r>
        <w:rPr>
          <w:rFonts w:ascii="Times New Roman" w:hAnsi="Times New Roman"/>
          <w:sz w:val="24"/>
          <w:lang w:val="en-US"/>
        </w:rPr>
        <w:t>Delays emanet</w:t>
      </w:r>
      <w:r w:rsidR="009B7BA3">
        <w:rPr>
          <w:rFonts w:ascii="Times New Roman" w:hAnsi="Times New Roman"/>
          <w:sz w:val="24"/>
          <w:lang w:val="en-US"/>
        </w:rPr>
        <w:t xml:space="preserve"> issues such as, limited availability of the few available, limited channels of disseminating vacancy announcements, unclear sp</w:t>
      </w:r>
      <w:r w:rsidR="0021369E">
        <w:rPr>
          <w:rFonts w:ascii="Times New Roman" w:hAnsi="Times New Roman"/>
          <w:sz w:val="24"/>
          <w:lang w:val="en-US"/>
        </w:rPr>
        <w:t>ecifications, buraecratic delays – long chains of approval.</w:t>
      </w:r>
    </w:p>
    <w:p w14:paraId="0E246877" w14:textId="77777777" w:rsidR="007D65D7" w:rsidRPr="007D65D7" w:rsidRDefault="0021369E" w:rsidP="0021369E">
      <w:pPr>
        <w:pStyle w:val="ListParagraph"/>
        <w:numPr>
          <w:ilvl w:val="0"/>
          <w:numId w:val="20"/>
        </w:numPr>
        <w:jc w:val="both"/>
        <w:rPr>
          <w:rFonts w:ascii="Times New Roman" w:hAnsi="Times New Roman"/>
          <w:sz w:val="24"/>
          <w:lang w:val="en-US"/>
        </w:rPr>
      </w:pPr>
      <w:r>
        <w:rPr>
          <w:rFonts w:ascii="Times New Roman" w:hAnsi="Times New Roman"/>
          <w:sz w:val="24"/>
          <w:lang w:val="en-US"/>
        </w:rPr>
        <w:t>E</w:t>
      </w:r>
      <w:r w:rsidR="007D65D7" w:rsidRPr="007D65D7">
        <w:rPr>
          <w:rFonts w:ascii="Times New Roman" w:hAnsi="Times New Roman"/>
          <w:sz w:val="24"/>
          <w:lang w:val="en-US"/>
        </w:rPr>
        <w:t xml:space="preserve">arly planning </w:t>
      </w:r>
      <w:r>
        <w:rPr>
          <w:rFonts w:ascii="Times New Roman" w:hAnsi="Times New Roman"/>
          <w:sz w:val="24"/>
          <w:lang w:val="en-US"/>
        </w:rPr>
        <w:t>is key in ensuring procurement processes are in tandem wityh project implementation timeframes</w:t>
      </w:r>
      <w:r w:rsidR="007D65D7" w:rsidRPr="007D65D7">
        <w:rPr>
          <w:rFonts w:ascii="Times New Roman" w:hAnsi="Times New Roman"/>
          <w:sz w:val="24"/>
          <w:lang w:val="en-US"/>
        </w:rPr>
        <w:t xml:space="preserve"> </w:t>
      </w:r>
    </w:p>
    <w:p w14:paraId="25C852CE" w14:textId="77777777" w:rsidR="007D65D7" w:rsidRPr="007D65D7" w:rsidRDefault="0021369E" w:rsidP="0021369E">
      <w:pPr>
        <w:pStyle w:val="ListParagraph"/>
        <w:numPr>
          <w:ilvl w:val="0"/>
          <w:numId w:val="20"/>
        </w:numPr>
        <w:jc w:val="both"/>
        <w:rPr>
          <w:rFonts w:ascii="Times New Roman" w:hAnsi="Times New Roman"/>
          <w:sz w:val="24"/>
          <w:lang w:val="en-US"/>
        </w:rPr>
      </w:pPr>
      <w:r>
        <w:rPr>
          <w:rFonts w:ascii="Times New Roman" w:hAnsi="Times New Roman"/>
          <w:sz w:val="24"/>
          <w:lang w:val="en-US"/>
        </w:rPr>
        <w:t>M</w:t>
      </w:r>
      <w:r w:rsidR="007D65D7" w:rsidRPr="007D65D7">
        <w:rPr>
          <w:rFonts w:ascii="Times New Roman" w:hAnsi="Times New Roman"/>
          <w:sz w:val="24"/>
          <w:lang w:val="en-US"/>
        </w:rPr>
        <w:t xml:space="preserve">anagement of the implementation of the contract </w:t>
      </w:r>
      <w:r>
        <w:rPr>
          <w:rFonts w:ascii="Times New Roman" w:hAnsi="Times New Roman"/>
          <w:sz w:val="24"/>
          <w:lang w:val="en-US"/>
        </w:rPr>
        <w:t xml:space="preserve">needs to </w:t>
      </w:r>
      <w:r w:rsidR="007D65D7" w:rsidRPr="007D65D7">
        <w:rPr>
          <w:rFonts w:ascii="Times New Roman" w:hAnsi="Times New Roman"/>
          <w:sz w:val="24"/>
          <w:lang w:val="en-US"/>
        </w:rPr>
        <w:t>be closely monitored to ensure timely delivery</w:t>
      </w:r>
      <w:r>
        <w:rPr>
          <w:rFonts w:ascii="Times New Roman" w:hAnsi="Times New Roman"/>
          <w:sz w:val="24"/>
          <w:lang w:val="en-US"/>
        </w:rPr>
        <w:t xml:space="preserve"> of outputs.</w:t>
      </w:r>
    </w:p>
    <w:p w14:paraId="111D7DCF" w14:textId="77777777" w:rsidR="007D65D7" w:rsidRPr="007D65D7" w:rsidRDefault="007D65D7" w:rsidP="0021369E">
      <w:pPr>
        <w:pStyle w:val="ListParagraph"/>
        <w:numPr>
          <w:ilvl w:val="0"/>
          <w:numId w:val="20"/>
        </w:numPr>
        <w:jc w:val="both"/>
        <w:rPr>
          <w:rFonts w:ascii="Times New Roman" w:hAnsi="Times New Roman"/>
          <w:sz w:val="24"/>
          <w:lang w:val="en-US"/>
        </w:rPr>
      </w:pPr>
      <w:r w:rsidRPr="007D65D7">
        <w:rPr>
          <w:rFonts w:ascii="Times New Roman" w:hAnsi="Times New Roman"/>
          <w:sz w:val="24"/>
          <w:lang w:val="en-US"/>
        </w:rPr>
        <w:t xml:space="preserve">The availability of </w:t>
      </w:r>
      <w:r w:rsidR="0021369E">
        <w:rPr>
          <w:rFonts w:ascii="Times New Roman" w:hAnsi="Times New Roman"/>
          <w:sz w:val="24"/>
          <w:lang w:val="en-US"/>
        </w:rPr>
        <w:t xml:space="preserve">some key stakeholders such as </w:t>
      </w:r>
      <w:r w:rsidRPr="007D65D7">
        <w:rPr>
          <w:rFonts w:ascii="Times New Roman" w:hAnsi="Times New Roman"/>
          <w:sz w:val="24"/>
          <w:lang w:val="en-US"/>
        </w:rPr>
        <w:t xml:space="preserve">Members of Parliament is </w:t>
      </w:r>
      <w:r w:rsidR="0021369E">
        <w:rPr>
          <w:rFonts w:ascii="Times New Roman" w:hAnsi="Times New Roman"/>
          <w:sz w:val="24"/>
          <w:lang w:val="en-US"/>
        </w:rPr>
        <w:t>difficuylt to secure</w:t>
      </w:r>
      <w:r w:rsidRPr="007D65D7">
        <w:rPr>
          <w:rFonts w:ascii="Times New Roman" w:hAnsi="Times New Roman"/>
          <w:sz w:val="24"/>
          <w:lang w:val="en-US"/>
        </w:rPr>
        <w:t>, especially as the country heads into its national elections. As a way forward the project</w:t>
      </w:r>
      <w:r w:rsidR="0021369E">
        <w:rPr>
          <w:rFonts w:ascii="Times New Roman" w:hAnsi="Times New Roman"/>
          <w:sz w:val="24"/>
          <w:lang w:val="en-US"/>
        </w:rPr>
        <w:t xml:space="preserve"> management</w:t>
      </w:r>
      <w:r w:rsidRPr="007D65D7">
        <w:rPr>
          <w:rFonts w:ascii="Times New Roman" w:hAnsi="Times New Roman"/>
          <w:sz w:val="24"/>
          <w:lang w:val="en-US"/>
        </w:rPr>
        <w:t xml:space="preserve"> could engage technical research staff who are attached to the relevant sector parliamentary committees</w:t>
      </w:r>
      <w:r w:rsidR="0021369E">
        <w:rPr>
          <w:rFonts w:ascii="Times New Roman" w:hAnsi="Times New Roman"/>
          <w:sz w:val="24"/>
          <w:lang w:val="en-US"/>
        </w:rPr>
        <w:t xml:space="preserve"> who would in turn be expected to use this information in advising parlimentarians</w:t>
      </w:r>
      <w:r w:rsidRPr="007D65D7">
        <w:rPr>
          <w:rFonts w:ascii="Times New Roman" w:hAnsi="Times New Roman"/>
          <w:sz w:val="24"/>
          <w:lang w:val="en-US"/>
        </w:rPr>
        <w:t>.</w:t>
      </w:r>
    </w:p>
    <w:p w14:paraId="337020ED" w14:textId="77777777" w:rsidR="00E703B2" w:rsidRDefault="00E703B2" w:rsidP="0021369E">
      <w:pPr>
        <w:pStyle w:val="BodyText2"/>
        <w:jc w:val="both"/>
        <w:rPr>
          <w:rFonts w:ascii="Times New Roman" w:hAnsi="Times New Roman"/>
          <w:sz w:val="24"/>
        </w:rPr>
      </w:pPr>
    </w:p>
    <w:p w14:paraId="6FABFCCF" w14:textId="77777777" w:rsidR="00E703B2" w:rsidRDefault="00921B2C" w:rsidP="0021369E">
      <w:pPr>
        <w:pStyle w:val="Heading3"/>
        <w:shd w:val="clear" w:color="auto" w:fill="auto"/>
        <w:jc w:val="both"/>
        <w:rPr>
          <w:b/>
          <w:bCs w:val="0"/>
        </w:rPr>
      </w:pPr>
      <w:r>
        <w:rPr>
          <w:b/>
          <w:bCs w:val="0"/>
        </w:rPr>
        <w:t>V.  FUTURE WORK PLAN</w:t>
      </w:r>
    </w:p>
    <w:p w14:paraId="340E93CD" w14:textId="77777777" w:rsidR="005A1725" w:rsidRDefault="005A1725" w:rsidP="007079CA">
      <w:pPr>
        <w:jc w:val="both"/>
      </w:pPr>
    </w:p>
    <w:p w14:paraId="2E48EA07" w14:textId="77777777" w:rsidR="0021369E" w:rsidRPr="00581C20" w:rsidRDefault="00581C20" w:rsidP="00581C20">
      <w:pPr>
        <w:pStyle w:val="ListParagraph"/>
        <w:numPr>
          <w:ilvl w:val="0"/>
          <w:numId w:val="26"/>
        </w:numPr>
        <w:jc w:val="both"/>
        <w:rPr>
          <w:rFonts w:ascii="Times New Roman" w:hAnsi="Times New Roman"/>
          <w:sz w:val="24"/>
          <w:lang w:val="en-US"/>
        </w:rPr>
      </w:pPr>
      <w:r>
        <w:rPr>
          <w:rFonts w:ascii="Times New Roman" w:hAnsi="Times New Roman"/>
          <w:sz w:val="24"/>
          <w:lang w:val="en-US"/>
        </w:rPr>
        <w:t xml:space="preserve">About </w:t>
      </w:r>
      <w:bookmarkStart w:id="0" w:name="_GoBack"/>
      <w:bookmarkEnd w:id="0"/>
      <w:r w:rsidR="00A61CF0" w:rsidRPr="00581C20">
        <w:rPr>
          <w:rFonts w:ascii="Times New Roman" w:hAnsi="Times New Roman"/>
          <w:sz w:val="24"/>
          <w:lang w:val="en-US"/>
        </w:rPr>
        <w:t>50 officers from the Ministry of Water Resources, esp. the Water Policy Planning Coordinating Unit (WPPCU), the Sierra Leone Environmental Protection Agency (EPA) and Districts leaders provided with relevant climate risks management guidelines/tools and trained on how the results of the climate risk/vulnerability assessments should be used to adjust regulations and policies governing the water sector at national (NWSP, RWSS) and local leve</w:t>
      </w:r>
      <w:r>
        <w:rPr>
          <w:rFonts w:ascii="Times New Roman" w:hAnsi="Times New Roman"/>
          <w:sz w:val="24"/>
          <w:lang w:val="en-US"/>
        </w:rPr>
        <w:t>l (Districts development plans).</w:t>
      </w:r>
      <w:r w:rsidR="00A61CF0" w:rsidRPr="00581C20">
        <w:rPr>
          <w:rFonts w:ascii="Times New Roman" w:hAnsi="Times New Roman"/>
          <w:sz w:val="24"/>
          <w:lang w:val="en-US"/>
        </w:rPr>
        <w:t xml:space="preserve">                             </w:t>
      </w:r>
    </w:p>
    <w:p w14:paraId="3E46DE1E" w14:textId="77777777" w:rsidR="0021369E" w:rsidRPr="00581C20" w:rsidRDefault="00A61CF0" w:rsidP="00581C20">
      <w:pPr>
        <w:pStyle w:val="ListParagraph"/>
        <w:numPr>
          <w:ilvl w:val="0"/>
          <w:numId w:val="26"/>
        </w:numPr>
        <w:jc w:val="both"/>
        <w:rPr>
          <w:rFonts w:ascii="Times New Roman" w:hAnsi="Times New Roman"/>
          <w:sz w:val="24"/>
          <w:lang w:val="en-US"/>
        </w:rPr>
      </w:pPr>
      <w:r w:rsidRPr="00581C20">
        <w:rPr>
          <w:rFonts w:ascii="Times New Roman" w:hAnsi="Times New Roman"/>
          <w:sz w:val="24"/>
          <w:lang w:val="en-US"/>
        </w:rPr>
        <w:t xml:space="preserve">Regular dialogues established between parliamentarians, local council members, traditional authorities, NGOs/CBOs, and private sector (WASH committees) on the impacts of climate change on water supply in Puhejun, Kambia and Kono districts  </w:t>
      </w:r>
    </w:p>
    <w:p w14:paraId="3FC3FAFE" w14:textId="77777777" w:rsidR="00A61CF0" w:rsidRPr="00581C20" w:rsidRDefault="00A61CF0" w:rsidP="00581C20">
      <w:pPr>
        <w:pStyle w:val="ListParagraph"/>
        <w:numPr>
          <w:ilvl w:val="0"/>
          <w:numId w:val="26"/>
        </w:numPr>
        <w:jc w:val="both"/>
        <w:rPr>
          <w:rFonts w:ascii="Times New Roman" w:hAnsi="Times New Roman"/>
          <w:sz w:val="24"/>
          <w:lang w:val="en-US"/>
        </w:rPr>
      </w:pPr>
      <w:r w:rsidRPr="00581C20">
        <w:rPr>
          <w:rFonts w:ascii="Times New Roman" w:hAnsi="Times New Roman"/>
          <w:sz w:val="24"/>
          <w:lang w:val="en-US"/>
        </w:rPr>
        <w:t>Relevant experiences/lessons from community oriented climate resilient water infrastructure and management practices (including gender differentiated issues) identified, and widely shared/disseminated to facilitate replic</w:t>
      </w:r>
      <w:r w:rsidR="00581C20">
        <w:rPr>
          <w:rFonts w:ascii="Times New Roman" w:hAnsi="Times New Roman"/>
          <w:sz w:val="24"/>
          <w:lang w:val="en-US"/>
        </w:rPr>
        <w:t>ation in other vulnerable areas.</w:t>
      </w:r>
      <w:r w:rsidRPr="00581C20">
        <w:rPr>
          <w:rFonts w:ascii="Times New Roman" w:hAnsi="Times New Roman"/>
          <w:sz w:val="24"/>
          <w:lang w:val="en-US"/>
        </w:rPr>
        <w:t xml:space="preserve"> </w:t>
      </w:r>
    </w:p>
    <w:p w14:paraId="5C80B0CC" w14:textId="77777777" w:rsidR="00581C20" w:rsidRPr="00581C20" w:rsidRDefault="00A61CF0" w:rsidP="00581C20">
      <w:pPr>
        <w:pStyle w:val="ListParagraph"/>
        <w:numPr>
          <w:ilvl w:val="0"/>
          <w:numId w:val="26"/>
        </w:numPr>
        <w:jc w:val="both"/>
        <w:rPr>
          <w:rFonts w:ascii="Times New Roman" w:hAnsi="Times New Roman"/>
          <w:sz w:val="24"/>
          <w:lang w:val="en-US"/>
        </w:rPr>
      </w:pPr>
      <w:r w:rsidRPr="00581C20">
        <w:rPr>
          <w:rFonts w:ascii="Times New Roman" w:hAnsi="Times New Roman"/>
          <w:sz w:val="24"/>
          <w:lang w:val="en-US"/>
        </w:rPr>
        <w:t xml:space="preserve">Pilot demonstrations of innovative climate resilient rainwater collection in </w:t>
      </w:r>
      <w:r w:rsidR="00581C20">
        <w:rPr>
          <w:rFonts w:ascii="Times New Roman" w:hAnsi="Times New Roman"/>
          <w:sz w:val="24"/>
          <w:lang w:val="en-US"/>
        </w:rPr>
        <w:t xml:space="preserve">two </w:t>
      </w:r>
      <w:r w:rsidRPr="00581C20">
        <w:rPr>
          <w:rFonts w:ascii="Times New Roman" w:hAnsi="Times New Roman"/>
          <w:sz w:val="24"/>
          <w:lang w:val="en-US"/>
        </w:rPr>
        <w:t>public building with reservoirs established to support the bottleneck of drink water supply in the dry season</w:t>
      </w:r>
      <w:r w:rsidR="00581C20">
        <w:rPr>
          <w:rFonts w:ascii="Times New Roman" w:hAnsi="Times New Roman"/>
          <w:sz w:val="24"/>
          <w:lang w:val="en-US"/>
        </w:rPr>
        <w:t>.</w:t>
      </w:r>
      <w:r w:rsidRPr="00581C20">
        <w:rPr>
          <w:rFonts w:ascii="Times New Roman" w:hAnsi="Times New Roman"/>
          <w:sz w:val="24"/>
          <w:lang w:val="en-US"/>
        </w:rPr>
        <w:t xml:space="preserve">  </w:t>
      </w:r>
    </w:p>
    <w:p w14:paraId="500B69BC" w14:textId="77777777" w:rsidR="00581C20" w:rsidRPr="00581C20" w:rsidRDefault="00A61CF0" w:rsidP="00581C20">
      <w:pPr>
        <w:pStyle w:val="ListParagraph"/>
        <w:numPr>
          <w:ilvl w:val="0"/>
          <w:numId w:val="26"/>
        </w:numPr>
        <w:jc w:val="both"/>
        <w:rPr>
          <w:rFonts w:ascii="Times New Roman" w:hAnsi="Times New Roman"/>
          <w:sz w:val="24"/>
          <w:lang w:val="en-US"/>
        </w:rPr>
      </w:pPr>
      <w:r w:rsidRPr="00581C20">
        <w:rPr>
          <w:rFonts w:ascii="Times New Roman" w:hAnsi="Times New Roman"/>
          <w:sz w:val="24"/>
          <w:lang w:val="en-US"/>
        </w:rPr>
        <w:t xml:space="preserve"> </w:t>
      </w:r>
      <w:r w:rsidR="00581C20" w:rsidRPr="00581C20">
        <w:rPr>
          <w:rFonts w:ascii="Times New Roman" w:hAnsi="Times New Roman"/>
          <w:sz w:val="24"/>
          <w:lang w:val="en-US"/>
        </w:rPr>
        <w:t>Spring water improvement designed, tested and demonstrated in high density area in Freetown (benefiting at least 2</w:t>
      </w:r>
      <w:r w:rsidR="00581C20">
        <w:rPr>
          <w:rFonts w:ascii="Times New Roman" w:hAnsi="Times New Roman"/>
          <w:sz w:val="24"/>
          <w:lang w:val="en-US"/>
        </w:rPr>
        <w:t>00 households).</w:t>
      </w:r>
      <w:r w:rsidR="00581C20" w:rsidRPr="00581C20">
        <w:rPr>
          <w:rFonts w:ascii="Times New Roman" w:hAnsi="Times New Roman"/>
          <w:sz w:val="24"/>
          <w:lang w:val="en-US"/>
        </w:rPr>
        <w:t xml:space="preserve">  </w:t>
      </w:r>
    </w:p>
    <w:p w14:paraId="60E43327" w14:textId="77777777" w:rsidR="0021369E" w:rsidRPr="00581C20" w:rsidRDefault="00581C20" w:rsidP="00581C20">
      <w:pPr>
        <w:pStyle w:val="ListParagraph"/>
        <w:numPr>
          <w:ilvl w:val="0"/>
          <w:numId w:val="26"/>
        </w:numPr>
        <w:jc w:val="both"/>
        <w:rPr>
          <w:rFonts w:ascii="Times New Roman" w:hAnsi="Times New Roman"/>
          <w:sz w:val="24"/>
          <w:lang w:val="en-US"/>
        </w:rPr>
      </w:pPr>
      <w:r w:rsidRPr="00581C20">
        <w:rPr>
          <w:rFonts w:ascii="Times New Roman" w:hAnsi="Times New Roman"/>
          <w:sz w:val="24"/>
          <w:lang w:val="en-US"/>
        </w:rPr>
        <w:t xml:space="preserve">Sustainable community reservoirs with </w:t>
      </w:r>
      <w:r>
        <w:rPr>
          <w:rFonts w:ascii="Times New Roman" w:hAnsi="Times New Roman"/>
          <w:sz w:val="24"/>
          <w:lang w:val="en-US"/>
        </w:rPr>
        <w:t>5</w:t>
      </w:r>
      <w:r w:rsidRPr="00581C20">
        <w:rPr>
          <w:rFonts w:ascii="Times New Roman" w:hAnsi="Times New Roman"/>
          <w:sz w:val="24"/>
          <w:lang w:val="en-US"/>
        </w:rPr>
        <w:t xml:space="preserve"> stand alone roof-top rainwater harvesting systems (in </w:t>
      </w:r>
      <w:r>
        <w:rPr>
          <w:rFonts w:ascii="Times New Roman" w:hAnsi="Times New Roman"/>
          <w:sz w:val="24"/>
          <w:lang w:val="en-US"/>
        </w:rPr>
        <w:t>2</w:t>
      </w:r>
      <w:r w:rsidRPr="00581C20">
        <w:rPr>
          <w:rFonts w:ascii="Times New Roman" w:hAnsi="Times New Roman"/>
          <w:sz w:val="24"/>
          <w:lang w:val="en-US"/>
        </w:rPr>
        <w:t xml:space="preserve"> hospitals and  </w:t>
      </w:r>
      <w:r>
        <w:rPr>
          <w:rFonts w:ascii="Times New Roman" w:hAnsi="Times New Roman"/>
          <w:sz w:val="24"/>
          <w:lang w:val="en-US"/>
        </w:rPr>
        <w:t>3</w:t>
      </w:r>
      <w:r w:rsidRPr="00581C20">
        <w:rPr>
          <w:rFonts w:ascii="Times New Roman" w:hAnsi="Times New Roman"/>
          <w:sz w:val="24"/>
          <w:lang w:val="en-US"/>
        </w:rPr>
        <w:t>schools designed and pioneered in Kono, Kambia and Pujehun</w:t>
      </w:r>
      <w:r>
        <w:rPr>
          <w:rFonts w:ascii="Times New Roman" w:hAnsi="Times New Roman"/>
          <w:sz w:val="24"/>
          <w:lang w:val="en-US"/>
        </w:rPr>
        <w:t>.</w:t>
      </w:r>
      <w:r w:rsidRPr="00581C20">
        <w:rPr>
          <w:rFonts w:ascii="Times New Roman" w:hAnsi="Times New Roman"/>
          <w:sz w:val="24"/>
          <w:lang w:val="en-US"/>
        </w:rPr>
        <w:t xml:space="preserve">                    </w:t>
      </w:r>
      <w:r w:rsidR="00A61CF0" w:rsidRPr="00581C20">
        <w:rPr>
          <w:rFonts w:ascii="Times New Roman" w:hAnsi="Times New Roman"/>
          <w:sz w:val="24"/>
          <w:lang w:val="en-US"/>
        </w:rPr>
        <w:t xml:space="preserve">       </w:t>
      </w:r>
    </w:p>
    <w:p w14:paraId="2D8B418D" w14:textId="77777777" w:rsidR="0021369E" w:rsidRPr="005A1725" w:rsidRDefault="0021369E" w:rsidP="007079CA">
      <w:pPr>
        <w:jc w:val="both"/>
      </w:pPr>
    </w:p>
    <w:p w14:paraId="525E84A8" w14:textId="77777777" w:rsidR="00E703B2" w:rsidRDefault="00921B2C" w:rsidP="007079CA">
      <w:pPr>
        <w:pStyle w:val="Heading3"/>
        <w:jc w:val="both"/>
        <w:rPr>
          <w:b/>
        </w:rPr>
      </w:pPr>
      <w:r>
        <w:rPr>
          <w:b/>
        </w:rPr>
        <w:t>V</w:t>
      </w:r>
      <w:r w:rsidR="001001CC">
        <w:rPr>
          <w:b/>
        </w:rPr>
        <w:t>I</w:t>
      </w:r>
      <w:r>
        <w:rPr>
          <w:b/>
        </w:rPr>
        <w:t>.  FINANCIAL IMPLEMENTATION</w:t>
      </w:r>
    </w:p>
    <w:p w14:paraId="0F13F0FC" w14:textId="77777777" w:rsidR="00FF1EC9" w:rsidRDefault="00FF1EC9" w:rsidP="007079CA">
      <w:pPr>
        <w:pStyle w:val="BodyText2"/>
        <w:jc w:val="both"/>
        <w:rPr>
          <w:rFonts w:ascii="Times New Roman" w:hAnsi="Times New Roman"/>
          <w:iCs/>
          <w:sz w:val="24"/>
        </w:rPr>
      </w:pPr>
    </w:p>
    <w:tbl>
      <w:tblPr>
        <w:tblW w:w="8815" w:type="dxa"/>
        <w:jc w:val="center"/>
        <w:tblLayout w:type="fixed"/>
        <w:tblLook w:val="04A0" w:firstRow="1" w:lastRow="0" w:firstColumn="1" w:lastColumn="0" w:noHBand="0" w:noVBand="1"/>
      </w:tblPr>
      <w:tblGrid>
        <w:gridCol w:w="715"/>
        <w:gridCol w:w="1620"/>
        <w:gridCol w:w="1260"/>
        <w:gridCol w:w="900"/>
        <w:gridCol w:w="1080"/>
        <w:gridCol w:w="810"/>
        <w:gridCol w:w="810"/>
        <w:gridCol w:w="810"/>
        <w:gridCol w:w="810"/>
      </w:tblGrid>
      <w:tr w:rsidR="00FF1EC9" w:rsidRPr="00FF1EC9" w14:paraId="29E4F8A4" w14:textId="77777777" w:rsidTr="008E605E">
        <w:trPr>
          <w:trHeight w:val="613"/>
          <w:jc w:val="center"/>
        </w:trPr>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109FC2" w14:textId="77777777" w:rsidR="00FF1EC9" w:rsidRPr="00FF1EC9" w:rsidRDefault="00FF1EC9" w:rsidP="008E605E">
            <w:pPr>
              <w:widowControl/>
              <w:jc w:val="center"/>
              <w:rPr>
                <w:b/>
                <w:sz w:val="16"/>
              </w:rPr>
            </w:pPr>
            <w:r w:rsidRPr="00FF1EC9">
              <w:rPr>
                <w:b/>
                <w:sz w:val="16"/>
              </w:rPr>
              <w:t>Prj ID</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17CD8F66" w14:textId="77777777" w:rsidR="00FF1EC9" w:rsidRPr="00FF1EC9" w:rsidRDefault="00FF1EC9" w:rsidP="008E605E">
            <w:pPr>
              <w:widowControl/>
              <w:jc w:val="center"/>
              <w:rPr>
                <w:b/>
                <w:sz w:val="16"/>
              </w:rPr>
            </w:pPr>
            <w:r w:rsidRPr="00FF1EC9">
              <w:rPr>
                <w:b/>
                <w:sz w:val="16"/>
              </w:rPr>
              <w:t>Proj title</w:t>
            </w:r>
          </w:p>
        </w:tc>
        <w:tc>
          <w:tcPr>
            <w:tcW w:w="1260" w:type="dxa"/>
            <w:tcBorders>
              <w:top w:val="single" w:sz="4" w:space="0" w:color="auto"/>
              <w:left w:val="nil"/>
              <w:bottom w:val="single" w:sz="4" w:space="0" w:color="auto"/>
              <w:right w:val="single" w:sz="4" w:space="0" w:color="auto"/>
            </w:tcBorders>
            <w:shd w:val="clear" w:color="000000" w:fill="FFFFFF"/>
            <w:vAlign w:val="center"/>
          </w:tcPr>
          <w:p w14:paraId="4402FF31" w14:textId="77777777" w:rsidR="00FF1EC9" w:rsidRPr="00FF1EC9" w:rsidRDefault="00FF1EC9" w:rsidP="008E605E">
            <w:pPr>
              <w:widowControl/>
              <w:jc w:val="center"/>
              <w:rPr>
                <w:b/>
                <w:sz w:val="16"/>
                <w:szCs w:val="22"/>
              </w:rPr>
            </w:pPr>
            <w:r w:rsidRPr="00FF1EC9">
              <w:rPr>
                <w:b/>
                <w:sz w:val="16"/>
                <w:szCs w:val="22"/>
              </w:rPr>
              <w:t>Source of funding</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14:paraId="4204CB0D" w14:textId="77777777" w:rsidR="00FF1EC9" w:rsidRPr="00FF1EC9" w:rsidRDefault="00FF1EC9" w:rsidP="008E605E">
            <w:pPr>
              <w:widowControl/>
              <w:jc w:val="center"/>
              <w:rPr>
                <w:b/>
                <w:sz w:val="16"/>
                <w:szCs w:val="22"/>
              </w:rPr>
            </w:pPr>
            <w:r w:rsidRPr="00FF1EC9">
              <w:rPr>
                <w:b/>
                <w:sz w:val="16"/>
                <w:szCs w:val="22"/>
              </w:rPr>
              <w:t>2017 Budget</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14:paraId="4CEE79CE" w14:textId="77777777" w:rsidR="00FF1EC9" w:rsidRPr="00FF1EC9" w:rsidRDefault="00FF1EC9" w:rsidP="008E605E">
            <w:pPr>
              <w:widowControl/>
              <w:jc w:val="center"/>
              <w:rPr>
                <w:b/>
                <w:color w:val="000000"/>
                <w:sz w:val="16"/>
                <w:szCs w:val="22"/>
              </w:rPr>
            </w:pPr>
            <w:r w:rsidRPr="00FF1EC9">
              <w:rPr>
                <w:b/>
                <w:color w:val="000000"/>
                <w:sz w:val="16"/>
                <w:szCs w:val="22"/>
              </w:rPr>
              <w:t>Future Years Budget (2018 &amp; beyond)</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3C3A3A2" w14:textId="77777777" w:rsidR="00FF1EC9" w:rsidRPr="00FF1EC9" w:rsidRDefault="00FF1EC9" w:rsidP="008E605E">
            <w:pPr>
              <w:widowControl/>
              <w:jc w:val="center"/>
              <w:rPr>
                <w:b/>
                <w:color w:val="000000"/>
                <w:sz w:val="16"/>
                <w:szCs w:val="22"/>
              </w:rPr>
            </w:pPr>
            <w:r w:rsidRPr="00FF1EC9">
              <w:rPr>
                <w:b/>
                <w:color w:val="000000"/>
                <w:sz w:val="16"/>
                <w:szCs w:val="22"/>
              </w:rPr>
              <w:t>2017 Expenditures</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36968DA" w14:textId="77777777" w:rsidR="00FF1EC9" w:rsidRPr="00FF1EC9" w:rsidRDefault="00FF1EC9" w:rsidP="008E605E">
            <w:pPr>
              <w:widowControl/>
              <w:jc w:val="center"/>
              <w:rPr>
                <w:b/>
                <w:color w:val="000000"/>
                <w:sz w:val="16"/>
                <w:szCs w:val="22"/>
              </w:rPr>
            </w:pPr>
            <w:r w:rsidRPr="00FF1EC9">
              <w:rPr>
                <w:b/>
                <w:color w:val="000000"/>
                <w:sz w:val="16"/>
                <w:szCs w:val="22"/>
              </w:rPr>
              <w:t>Committements</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6DE8355B" w14:textId="77777777" w:rsidR="00FF1EC9" w:rsidRPr="00FF1EC9" w:rsidRDefault="00FF1EC9" w:rsidP="008E605E">
            <w:pPr>
              <w:widowControl/>
              <w:jc w:val="center"/>
              <w:rPr>
                <w:b/>
                <w:color w:val="000000"/>
                <w:sz w:val="16"/>
                <w:szCs w:val="22"/>
              </w:rPr>
            </w:pPr>
            <w:r w:rsidRPr="00FF1EC9">
              <w:rPr>
                <w:b/>
                <w:color w:val="000000"/>
                <w:sz w:val="16"/>
                <w:szCs w:val="22"/>
              </w:rPr>
              <w:t>Balance</w:t>
            </w:r>
          </w:p>
        </w:tc>
        <w:tc>
          <w:tcPr>
            <w:tcW w:w="810" w:type="dxa"/>
            <w:tcBorders>
              <w:top w:val="single" w:sz="4" w:space="0" w:color="auto"/>
              <w:left w:val="nil"/>
              <w:bottom w:val="single" w:sz="4" w:space="0" w:color="auto"/>
              <w:right w:val="single" w:sz="4" w:space="0" w:color="auto"/>
            </w:tcBorders>
            <w:shd w:val="clear" w:color="000000" w:fill="FFFFFF"/>
            <w:noWrap/>
            <w:vAlign w:val="center"/>
          </w:tcPr>
          <w:p w14:paraId="0053CCD0" w14:textId="77777777" w:rsidR="00FF1EC9" w:rsidRPr="00FF1EC9" w:rsidRDefault="00FF1EC9" w:rsidP="008E605E">
            <w:pPr>
              <w:widowControl/>
              <w:jc w:val="center"/>
              <w:rPr>
                <w:b/>
                <w:color w:val="000000"/>
                <w:sz w:val="16"/>
                <w:szCs w:val="22"/>
              </w:rPr>
            </w:pPr>
            <w:r w:rsidRPr="00FF1EC9">
              <w:rPr>
                <w:b/>
                <w:color w:val="000000"/>
                <w:sz w:val="16"/>
                <w:szCs w:val="22"/>
              </w:rPr>
              <w:t>% Delivery</w:t>
            </w:r>
          </w:p>
        </w:tc>
      </w:tr>
      <w:tr w:rsidR="00FF1EC9" w:rsidRPr="00FF1EC9" w14:paraId="790CD8CB" w14:textId="77777777" w:rsidTr="008E605E">
        <w:trPr>
          <w:trHeight w:val="613"/>
          <w:jc w:val="center"/>
        </w:trPr>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38472" w14:textId="77777777" w:rsidR="00FF1EC9" w:rsidRPr="002447E2" w:rsidRDefault="00FF1EC9" w:rsidP="008E605E">
            <w:pPr>
              <w:widowControl/>
              <w:jc w:val="center"/>
              <w:rPr>
                <w:sz w:val="18"/>
              </w:rPr>
            </w:pPr>
            <w:r w:rsidRPr="002447E2">
              <w:rPr>
                <w:sz w:val="18"/>
              </w:rPr>
              <w:lastRenderedPageBreak/>
              <w:t>86632</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D9CDB9B" w14:textId="77777777" w:rsidR="00FF1EC9" w:rsidRPr="002447E2" w:rsidRDefault="00FF1EC9" w:rsidP="008E605E">
            <w:pPr>
              <w:widowControl/>
              <w:rPr>
                <w:sz w:val="18"/>
              </w:rPr>
            </w:pPr>
            <w:r w:rsidRPr="002447E2">
              <w:rPr>
                <w:sz w:val="18"/>
              </w:rPr>
              <w:t>Adaptive Capacity of Water services to Climate Change</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5A1D37B" w14:textId="77777777" w:rsidR="00FF1EC9" w:rsidRPr="002447E2" w:rsidRDefault="00FF1EC9" w:rsidP="008E605E">
            <w:pPr>
              <w:widowControl/>
              <w:jc w:val="center"/>
              <w:rPr>
                <w:sz w:val="18"/>
                <w:szCs w:val="22"/>
              </w:rPr>
            </w:pPr>
            <w:r w:rsidRPr="00FF1EC9">
              <w:rPr>
                <w:sz w:val="18"/>
                <w:szCs w:val="22"/>
              </w:rPr>
              <w:t>GEF/</w:t>
            </w:r>
            <w:r w:rsidRPr="002447E2">
              <w:rPr>
                <w:sz w:val="18"/>
                <w:szCs w:val="22"/>
              </w:rPr>
              <w:t>PIMS</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2C3AC710" w14:textId="77777777" w:rsidR="00FF1EC9" w:rsidRPr="002447E2" w:rsidRDefault="00FF1EC9" w:rsidP="008E605E">
            <w:pPr>
              <w:widowControl/>
              <w:jc w:val="right"/>
              <w:rPr>
                <w:sz w:val="18"/>
                <w:szCs w:val="22"/>
              </w:rPr>
            </w:pPr>
            <w:r w:rsidRPr="00FF1EC9">
              <w:rPr>
                <w:sz w:val="18"/>
                <w:szCs w:val="22"/>
              </w:rPr>
              <w:t>735,923</w:t>
            </w:r>
            <w:r w:rsidRPr="002447E2">
              <w:rPr>
                <w:sz w:val="18"/>
                <w:szCs w:val="22"/>
              </w:rPr>
              <w:t> </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5F37F2F" w14:textId="77777777" w:rsidR="00FF1EC9" w:rsidRPr="002447E2" w:rsidRDefault="00FF1EC9" w:rsidP="008E605E">
            <w:pPr>
              <w:widowControl/>
              <w:rPr>
                <w:color w:val="000000"/>
                <w:sz w:val="18"/>
                <w:szCs w:val="22"/>
              </w:rPr>
            </w:pPr>
            <w:r w:rsidRPr="002447E2">
              <w:rPr>
                <w:color w:val="000000"/>
                <w:sz w:val="18"/>
                <w:szCs w:val="22"/>
              </w:rPr>
              <w:t xml:space="preserve">1,349,782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9632E20" w14:textId="77777777" w:rsidR="00FF1EC9" w:rsidRPr="002447E2" w:rsidRDefault="00FF1EC9" w:rsidP="008E605E">
            <w:pPr>
              <w:widowControl/>
              <w:jc w:val="right"/>
              <w:rPr>
                <w:color w:val="000000"/>
                <w:sz w:val="18"/>
                <w:szCs w:val="22"/>
              </w:rPr>
            </w:pPr>
            <w:r w:rsidRPr="002447E2">
              <w:rPr>
                <w:color w:val="000000"/>
                <w:sz w:val="18"/>
                <w:szCs w:val="22"/>
              </w:rPr>
              <w:t>406,916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CED6BB8" w14:textId="77777777" w:rsidR="00FF1EC9" w:rsidRPr="002447E2" w:rsidRDefault="00FF1EC9" w:rsidP="008E605E">
            <w:pPr>
              <w:widowControl/>
              <w:jc w:val="right"/>
              <w:rPr>
                <w:color w:val="000000"/>
                <w:sz w:val="18"/>
                <w:szCs w:val="22"/>
              </w:rPr>
            </w:pPr>
            <w:r w:rsidRPr="002447E2">
              <w:rPr>
                <w:color w:val="000000"/>
                <w:sz w:val="18"/>
                <w:szCs w:val="22"/>
              </w:rPr>
              <w:t>303,901</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3B4A79D7" w14:textId="77777777" w:rsidR="00FF1EC9" w:rsidRPr="002447E2" w:rsidRDefault="00FF1EC9" w:rsidP="008E605E">
            <w:pPr>
              <w:widowControl/>
              <w:jc w:val="right"/>
              <w:rPr>
                <w:color w:val="000000"/>
                <w:sz w:val="18"/>
                <w:szCs w:val="22"/>
              </w:rPr>
            </w:pPr>
            <w:r w:rsidRPr="002447E2">
              <w:rPr>
                <w:color w:val="000000"/>
                <w:sz w:val="18"/>
                <w:szCs w:val="22"/>
              </w:rPr>
              <w:t xml:space="preserve"> 25,106 </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3330FAA8" w14:textId="77777777" w:rsidR="00FF1EC9" w:rsidRPr="002447E2" w:rsidRDefault="00FF1EC9" w:rsidP="008E605E">
            <w:pPr>
              <w:widowControl/>
              <w:jc w:val="center"/>
              <w:rPr>
                <w:color w:val="000000"/>
                <w:sz w:val="18"/>
                <w:szCs w:val="22"/>
              </w:rPr>
            </w:pPr>
            <w:r w:rsidRPr="002447E2">
              <w:rPr>
                <w:color w:val="000000"/>
                <w:sz w:val="18"/>
                <w:szCs w:val="22"/>
              </w:rPr>
              <w:t>97%</w:t>
            </w:r>
          </w:p>
        </w:tc>
      </w:tr>
    </w:tbl>
    <w:p w14:paraId="7CE5D4CF" w14:textId="77777777" w:rsidR="00E703B2" w:rsidRDefault="00E703B2" w:rsidP="00FF1EC9">
      <w:pPr>
        <w:pStyle w:val="BodyText2"/>
        <w:jc w:val="both"/>
        <w:rPr>
          <w:rFonts w:ascii="Times New Roman" w:hAnsi="Times New Roman"/>
          <w:sz w:val="24"/>
        </w:rPr>
      </w:pPr>
    </w:p>
    <w:sectPr w:rsidR="00E703B2" w:rsidSect="00E703B2">
      <w:headerReference w:type="default" r:id="rId7"/>
      <w:endnotePr>
        <w:numFmt w:val="decimal"/>
      </w:endnotePr>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E58A0" w14:textId="77777777" w:rsidR="006D7521" w:rsidRDefault="006D7521">
      <w:r>
        <w:separator/>
      </w:r>
    </w:p>
  </w:endnote>
  <w:endnote w:type="continuationSeparator" w:id="0">
    <w:p w14:paraId="48657FA7" w14:textId="77777777" w:rsidR="006D7521" w:rsidRDefault="006D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FuturaT-Demi">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885E7" w14:textId="77777777" w:rsidR="006D7521" w:rsidRDefault="006D7521">
      <w:r>
        <w:separator/>
      </w:r>
    </w:p>
  </w:footnote>
  <w:footnote w:type="continuationSeparator" w:id="0">
    <w:p w14:paraId="0557E129" w14:textId="77777777" w:rsidR="006D7521" w:rsidRDefault="006D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EDC9" w14:textId="77777777" w:rsidR="001001CC" w:rsidRPr="00516C1B" w:rsidRDefault="00103ADC" w:rsidP="001001CC">
    <w:pPr>
      <w:pStyle w:val="Header"/>
      <w:rPr>
        <w:b/>
        <w:color w:val="17365D"/>
        <w:sz w:val="28"/>
        <w:szCs w:val="28"/>
      </w:rPr>
    </w:pPr>
    <w:r w:rsidRPr="00516C1B">
      <w:rPr>
        <w:noProof/>
        <w:color w:val="17365D"/>
        <w:sz w:val="28"/>
        <w:szCs w:val="28"/>
      </w:rPr>
      <w:drawing>
        <wp:anchor distT="0" distB="0" distL="114300" distR="114300" simplePos="0" relativeHeight="251657728" behindDoc="1" locked="0" layoutInCell="1" allowOverlap="1" wp14:anchorId="152F59D4" wp14:editId="5495E8C4">
          <wp:simplePos x="0" y="0"/>
          <wp:positionH relativeFrom="column">
            <wp:posOffset>5265420</wp:posOffset>
          </wp:positionH>
          <wp:positionV relativeFrom="paragraph">
            <wp:posOffset>-384175</wp:posOffset>
          </wp:positionV>
          <wp:extent cx="630555" cy="1012825"/>
          <wp:effectExtent l="0" t="0" r="0" b="0"/>
          <wp:wrapNone/>
          <wp:docPr id="1"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1CC" w:rsidRPr="00516C1B">
      <w:rPr>
        <w:b/>
        <w:color w:val="17365D"/>
        <w:sz w:val="28"/>
        <w:szCs w:val="28"/>
      </w:rPr>
      <w:t>United Nations Development Programme</w:t>
    </w:r>
  </w:p>
  <w:p w14:paraId="338C0353" w14:textId="77777777" w:rsidR="001001CC" w:rsidRDefault="001001CC" w:rsidP="001001CC">
    <w:pPr>
      <w:pStyle w:val="Header"/>
    </w:pPr>
  </w:p>
  <w:p w14:paraId="1D684FAF" w14:textId="77777777" w:rsidR="001001CC" w:rsidRDefault="001001CC" w:rsidP="001001CC">
    <w:pPr>
      <w:pStyle w:val="Header"/>
    </w:pPr>
  </w:p>
  <w:p w14:paraId="45C5BFD2" w14:textId="77777777" w:rsidR="00E703B2" w:rsidRDefault="00E7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A14F0"/>
    <w:multiLevelType w:val="hybridMultilevel"/>
    <w:tmpl w:val="E5208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CA0F11"/>
    <w:multiLevelType w:val="hybridMultilevel"/>
    <w:tmpl w:val="5F00E8CE"/>
    <w:lvl w:ilvl="0" w:tplc="A1C8E7E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60434"/>
    <w:multiLevelType w:val="hybridMultilevel"/>
    <w:tmpl w:val="3554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64904"/>
    <w:multiLevelType w:val="hybridMultilevel"/>
    <w:tmpl w:val="D12E87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1851F03"/>
    <w:multiLevelType w:val="hybridMultilevel"/>
    <w:tmpl w:val="EE78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3665B6"/>
    <w:multiLevelType w:val="hybridMultilevel"/>
    <w:tmpl w:val="E74C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E4B7DAA"/>
    <w:multiLevelType w:val="hybridMultilevel"/>
    <w:tmpl w:val="B1BC2630"/>
    <w:lvl w:ilvl="0" w:tplc="7D34C192">
      <w:start w:val="1"/>
      <w:numFmt w:val="decimal"/>
      <w:lvlText w:val="%1)"/>
      <w:lvlJc w:val="left"/>
      <w:pPr>
        <w:tabs>
          <w:tab w:val="num" w:pos="1440"/>
        </w:tabs>
        <w:ind w:left="1440" w:hanging="360"/>
      </w:pPr>
      <w:rPr>
        <w:rFonts w:cs="Times New Roman" w:hint="default"/>
      </w:rPr>
    </w:lvl>
    <w:lvl w:ilvl="1" w:tplc="6E9CB448" w:tentative="1">
      <w:start w:val="1"/>
      <w:numFmt w:val="lowerLetter"/>
      <w:lvlText w:val="%2."/>
      <w:lvlJc w:val="left"/>
      <w:pPr>
        <w:tabs>
          <w:tab w:val="num" w:pos="2160"/>
        </w:tabs>
        <w:ind w:left="2160" w:hanging="360"/>
      </w:pPr>
    </w:lvl>
    <w:lvl w:ilvl="2" w:tplc="BA90DDE8" w:tentative="1">
      <w:start w:val="1"/>
      <w:numFmt w:val="lowerRoman"/>
      <w:lvlText w:val="%3."/>
      <w:lvlJc w:val="right"/>
      <w:pPr>
        <w:tabs>
          <w:tab w:val="num" w:pos="2880"/>
        </w:tabs>
        <w:ind w:left="2880" w:hanging="180"/>
      </w:pPr>
    </w:lvl>
    <w:lvl w:ilvl="3" w:tplc="9A08C7A6" w:tentative="1">
      <w:start w:val="1"/>
      <w:numFmt w:val="decimal"/>
      <w:lvlText w:val="%4."/>
      <w:lvlJc w:val="left"/>
      <w:pPr>
        <w:tabs>
          <w:tab w:val="num" w:pos="3600"/>
        </w:tabs>
        <w:ind w:left="3600" w:hanging="360"/>
      </w:pPr>
    </w:lvl>
    <w:lvl w:ilvl="4" w:tplc="CD328CF0" w:tentative="1">
      <w:start w:val="1"/>
      <w:numFmt w:val="lowerLetter"/>
      <w:lvlText w:val="%5."/>
      <w:lvlJc w:val="left"/>
      <w:pPr>
        <w:tabs>
          <w:tab w:val="num" w:pos="4320"/>
        </w:tabs>
        <w:ind w:left="4320" w:hanging="360"/>
      </w:pPr>
    </w:lvl>
    <w:lvl w:ilvl="5" w:tplc="6B58AE0A" w:tentative="1">
      <w:start w:val="1"/>
      <w:numFmt w:val="lowerRoman"/>
      <w:lvlText w:val="%6."/>
      <w:lvlJc w:val="right"/>
      <w:pPr>
        <w:tabs>
          <w:tab w:val="num" w:pos="5040"/>
        </w:tabs>
        <w:ind w:left="5040" w:hanging="180"/>
      </w:pPr>
    </w:lvl>
    <w:lvl w:ilvl="6" w:tplc="57D8790C" w:tentative="1">
      <w:start w:val="1"/>
      <w:numFmt w:val="decimal"/>
      <w:lvlText w:val="%7."/>
      <w:lvlJc w:val="left"/>
      <w:pPr>
        <w:tabs>
          <w:tab w:val="num" w:pos="5760"/>
        </w:tabs>
        <w:ind w:left="5760" w:hanging="360"/>
      </w:pPr>
    </w:lvl>
    <w:lvl w:ilvl="7" w:tplc="1EB8E7FE" w:tentative="1">
      <w:start w:val="1"/>
      <w:numFmt w:val="lowerLetter"/>
      <w:lvlText w:val="%8."/>
      <w:lvlJc w:val="left"/>
      <w:pPr>
        <w:tabs>
          <w:tab w:val="num" w:pos="6480"/>
        </w:tabs>
        <w:ind w:left="6480" w:hanging="360"/>
      </w:pPr>
    </w:lvl>
    <w:lvl w:ilvl="8" w:tplc="BD9C8BC0" w:tentative="1">
      <w:start w:val="1"/>
      <w:numFmt w:val="lowerRoman"/>
      <w:lvlText w:val="%9."/>
      <w:lvlJc w:val="right"/>
      <w:pPr>
        <w:tabs>
          <w:tab w:val="num" w:pos="7200"/>
        </w:tabs>
        <w:ind w:left="7200" w:hanging="180"/>
      </w:pPr>
    </w:lvl>
  </w:abstractNum>
  <w:abstractNum w:abstractNumId="13" w15:restartNumberingAfterBreak="0">
    <w:nsid w:val="4E5B4447"/>
    <w:multiLevelType w:val="hybridMultilevel"/>
    <w:tmpl w:val="32A4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71693"/>
    <w:multiLevelType w:val="hybridMultilevel"/>
    <w:tmpl w:val="BA8E8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2E512E"/>
    <w:multiLevelType w:val="hybridMultilevel"/>
    <w:tmpl w:val="1E64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0D78EE"/>
    <w:multiLevelType w:val="hybridMultilevel"/>
    <w:tmpl w:val="BFD029EE"/>
    <w:lvl w:ilvl="0" w:tplc="2B1C4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31ADE"/>
    <w:multiLevelType w:val="hybridMultilevel"/>
    <w:tmpl w:val="B9A8ED7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AC55B86"/>
    <w:multiLevelType w:val="hybridMultilevel"/>
    <w:tmpl w:val="E52C6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D0B50"/>
    <w:multiLevelType w:val="hybridMultilevel"/>
    <w:tmpl w:val="4C8A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C2DD1"/>
    <w:multiLevelType w:val="hybridMultilevel"/>
    <w:tmpl w:val="C38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7554F77"/>
    <w:multiLevelType w:val="hybridMultilevel"/>
    <w:tmpl w:val="9F82C9B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0"/>
  </w:num>
  <w:num w:numId="3">
    <w:abstractNumId w:val="9"/>
  </w:num>
  <w:num w:numId="4">
    <w:abstractNumId w:val="4"/>
  </w:num>
  <w:num w:numId="5">
    <w:abstractNumId w:val="15"/>
  </w:num>
  <w:num w:numId="6">
    <w:abstractNumId w:val="18"/>
  </w:num>
  <w:num w:numId="7">
    <w:abstractNumId w:val="2"/>
  </w:num>
  <w:num w:numId="8">
    <w:abstractNumId w:val="17"/>
  </w:num>
  <w:num w:numId="9">
    <w:abstractNumId w:val="5"/>
  </w:num>
  <w:num w:numId="10">
    <w:abstractNumId w:val="11"/>
  </w:num>
  <w:num w:numId="11">
    <w:abstractNumId w:val="24"/>
  </w:num>
  <w:num w:numId="12">
    <w:abstractNumId w:val="23"/>
  </w:num>
  <w:num w:numId="13">
    <w:abstractNumId w:val="6"/>
  </w:num>
  <w:num w:numId="14">
    <w:abstractNumId w:val="25"/>
  </w:num>
  <w:num w:numId="15">
    <w:abstractNumId w:val="1"/>
  </w:num>
  <w:num w:numId="16">
    <w:abstractNumId w:val="3"/>
  </w:num>
  <w:num w:numId="17">
    <w:abstractNumId w:val="10"/>
  </w:num>
  <w:num w:numId="18">
    <w:abstractNumId w:val="16"/>
  </w:num>
  <w:num w:numId="19">
    <w:abstractNumId w:val="21"/>
  </w:num>
  <w:num w:numId="20">
    <w:abstractNumId w:val="7"/>
  </w:num>
  <w:num w:numId="21">
    <w:abstractNumId w:val="14"/>
  </w:num>
  <w:num w:numId="22">
    <w:abstractNumId w:val="13"/>
  </w:num>
  <w:num w:numId="23">
    <w:abstractNumId w:val="22"/>
  </w:num>
  <w:num w:numId="24">
    <w:abstractNumId w:val="8"/>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2C"/>
    <w:rsid w:val="00020E04"/>
    <w:rsid w:val="000229D0"/>
    <w:rsid w:val="0003287B"/>
    <w:rsid w:val="00034104"/>
    <w:rsid w:val="00057F4B"/>
    <w:rsid w:val="00061026"/>
    <w:rsid w:val="00071BAC"/>
    <w:rsid w:val="000801EB"/>
    <w:rsid w:val="000858AD"/>
    <w:rsid w:val="000B15FD"/>
    <w:rsid w:val="000D5056"/>
    <w:rsid w:val="001001CC"/>
    <w:rsid w:val="00103ADC"/>
    <w:rsid w:val="00104159"/>
    <w:rsid w:val="00104E28"/>
    <w:rsid w:val="00123890"/>
    <w:rsid w:val="00125706"/>
    <w:rsid w:val="0014132D"/>
    <w:rsid w:val="001B54F4"/>
    <w:rsid w:val="001E4B25"/>
    <w:rsid w:val="0021369E"/>
    <w:rsid w:val="002204E1"/>
    <w:rsid w:val="002447E2"/>
    <w:rsid w:val="00246B5D"/>
    <w:rsid w:val="002500BA"/>
    <w:rsid w:val="0027728B"/>
    <w:rsid w:val="002E318F"/>
    <w:rsid w:val="002E3C5B"/>
    <w:rsid w:val="002E50BA"/>
    <w:rsid w:val="002F2C8B"/>
    <w:rsid w:val="003554E7"/>
    <w:rsid w:val="003725E5"/>
    <w:rsid w:val="00393A70"/>
    <w:rsid w:val="00425714"/>
    <w:rsid w:val="00434A75"/>
    <w:rsid w:val="0043735D"/>
    <w:rsid w:val="00447A1C"/>
    <w:rsid w:val="004B27CE"/>
    <w:rsid w:val="004B72D4"/>
    <w:rsid w:val="004C2F62"/>
    <w:rsid w:val="00511226"/>
    <w:rsid w:val="00512361"/>
    <w:rsid w:val="00516C1B"/>
    <w:rsid w:val="00517459"/>
    <w:rsid w:val="00523883"/>
    <w:rsid w:val="00581C20"/>
    <w:rsid w:val="005A1725"/>
    <w:rsid w:val="005C41AB"/>
    <w:rsid w:val="006B46E0"/>
    <w:rsid w:val="006B7E25"/>
    <w:rsid w:val="006D11D6"/>
    <w:rsid w:val="006D15A1"/>
    <w:rsid w:val="006D7521"/>
    <w:rsid w:val="006E6C67"/>
    <w:rsid w:val="006F0CC3"/>
    <w:rsid w:val="007079CA"/>
    <w:rsid w:val="00717C12"/>
    <w:rsid w:val="00721DAA"/>
    <w:rsid w:val="00722A87"/>
    <w:rsid w:val="007324BC"/>
    <w:rsid w:val="00794685"/>
    <w:rsid w:val="007B7B51"/>
    <w:rsid w:val="007C1B4A"/>
    <w:rsid w:val="007C1C73"/>
    <w:rsid w:val="007C1EC9"/>
    <w:rsid w:val="007C70D6"/>
    <w:rsid w:val="007D36A6"/>
    <w:rsid w:val="007D51C6"/>
    <w:rsid w:val="007D5C18"/>
    <w:rsid w:val="007D65D7"/>
    <w:rsid w:val="007E477E"/>
    <w:rsid w:val="00806DA6"/>
    <w:rsid w:val="00813110"/>
    <w:rsid w:val="00836603"/>
    <w:rsid w:val="008441B1"/>
    <w:rsid w:val="008522E7"/>
    <w:rsid w:val="00890E7C"/>
    <w:rsid w:val="008A1259"/>
    <w:rsid w:val="008A1BD5"/>
    <w:rsid w:val="008C2F7D"/>
    <w:rsid w:val="008C48E7"/>
    <w:rsid w:val="008D3AA6"/>
    <w:rsid w:val="008F1999"/>
    <w:rsid w:val="00920707"/>
    <w:rsid w:val="00921B2C"/>
    <w:rsid w:val="00944280"/>
    <w:rsid w:val="00944902"/>
    <w:rsid w:val="00987095"/>
    <w:rsid w:val="00993200"/>
    <w:rsid w:val="009B0788"/>
    <w:rsid w:val="009B7BA3"/>
    <w:rsid w:val="009D36FD"/>
    <w:rsid w:val="009E5E80"/>
    <w:rsid w:val="009E6FBE"/>
    <w:rsid w:val="009F6585"/>
    <w:rsid w:val="00A10936"/>
    <w:rsid w:val="00A24156"/>
    <w:rsid w:val="00A377CB"/>
    <w:rsid w:val="00A61CF0"/>
    <w:rsid w:val="00A740A8"/>
    <w:rsid w:val="00A940F0"/>
    <w:rsid w:val="00AD7B35"/>
    <w:rsid w:val="00B326F6"/>
    <w:rsid w:val="00B3407D"/>
    <w:rsid w:val="00B36DE1"/>
    <w:rsid w:val="00BA1184"/>
    <w:rsid w:val="00BB4892"/>
    <w:rsid w:val="00BD060E"/>
    <w:rsid w:val="00C01CBE"/>
    <w:rsid w:val="00C2573A"/>
    <w:rsid w:val="00C46078"/>
    <w:rsid w:val="00C62F7C"/>
    <w:rsid w:val="00C84A81"/>
    <w:rsid w:val="00CB15C8"/>
    <w:rsid w:val="00CB5849"/>
    <w:rsid w:val="00CF6369"/>
    <w:rsid w:val="00D432B7"/>
    <w:rsid w:val="00D43D37"/>
    <w:rsid w:val="00D96B74"/>
    <w:rsid w:val="00DC4558"/>
    <w:rsid w:val="00DC532B"/>
    <w:rsid w:val="00DE3053"/>
    <w:rsid w:val="00DF186A"/>
    <w:rsid w:val="00E05403"/>
    <w:rsid w:val="00E23EF1"/>
    <w:rsid w:val="00E256D5"/>
    <w:rsid w:val="00E63206"/>
    <w:rsid w:val="00E703B2"/>
    <w:rsid w:val="00E91CE7"/>
    <w:rsid w:val="00EA447B"/>
    <w:rsid w:val="00ED0BB0"/>
    <w:rsid w:val="00ED6755"/>
    <w:rsid w:val="00EE1840"/>
    <w:rsid w:val="00F275DD"/>
    <w:rsid w:val="00F62EA4"/>
    <w:rsid w:val="00F6350C"/>
    <w:rsid w:val="00F70767"/>
    <w:rsid w:val="00F711E5"/>
    <w:rsid w:val="00F83933"/>
    <w:rsid w:val="00FE06C6"/>
    <w:rsid w:val="00FF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97B01"/>
  <w15:chartTrackingRefBased/>
  <w15:docId w15:val="{F539E990-4620-4AF0-848F-DFAE4B6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3B2"/>
    <w:pPr>
      <w:widowControl w:val="0"/>
    </w:pPr>
    <w:rPr>
      <w:sz w:val="24"/>
      <w:lang w:val="en-US" w:eastAsia="en-US"/>
    </w:rPr>
  </w:style>
  <w:style w:type="paragraph" w:styleId="Heading3">
    <w:name w:val="heading 3"/>
    <w:basedOn w:val="Normal"/>
    <w:next w:val="Normal"/>
    <w:qFormat/>
    <w:rsid w:val="00E703B2"/>
    <w:pPr>
      <w:keepNext/>
      <w:shd w:val="pct15" w:color="auto" w:fill="FFFFFF"/>
      <w:jc w:val="center"/>
      <w:outlineLvl w:val="2"/>
    </w:pPr>
    <w:rPr>
      <w:rFonts w:ascii="Arial" w:hAnsi="Arial"/>
      <w:bCs/>
    </w:rPr>
  </w:style>
  <w:style w:type="paragraph" w:styleId="Heading4">
    <w:name w:val="heading 4"/>
    <w:basedOn w:val="Normal"/>
    <w:next w:val="Normal"/>
    <w:qFormat/>
    <w:rsid w:val="00E703B2"/>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703B2"/>
    <w:pPr>
      <w:widowControl/>
    </w:pPr>
    <w:rPr>
      <w:rFonts w:ascii="Univers" w:hAnsi="Univers"/>
      <w:sz w:val="22"/>
    </w:rPr>
  </w:style>
  <w:style w:type="paragraph" w:styleId="BodyText2">
    <w:name w:val="Body Text 2"/>
    <w:basedOn w:val="Normal"/>
    <w:semiHidden/>
    <w:rsid w:val="00E703B2"/>
    <w:pPr>
      <w:widowControl/>
    </w:pPr>
    <w:rPr>
      <w:rFonts w:ascii="Arial" w:hAnsi="Arial"/>
      <w:sz w:val="20"/>
    </w:rPr>
  </w:style>
  <w:style w:type="paragraph" w:styleId="BodyText3">
    <w:name w:val="Body Text 3"/>
    <w:basedOn w:val="Normal"/>
    <w:semiHidden/>
    <w:rsid w:val="00E703B2"/>
    <w:pPr>
      <w:jc w:val="both"/>
    </w:pPr>
    <w:rPr>
      <w:szCs w:val="24"/>
    </w:rPr>
  </w:style>
  <w:style w:type="paragraph" w:styleId="Header">
    <w:name w:val="header"/>
    <w:basedOn w:val="Normal"/>
    <w:link w:val="HeaderChar"/>
    <w:uiPriority w:val="99"/>
    <w:rsid w:val="00E703B2"/>
    <w:pPr>
      <w:tabs>
        <w:tab w:val="center" w:pos="4320"/>
        <w:tab w:val="right" w:pos="8640"/>
      </w:tabs>
    </w:pPr>
  </w:style>
  <w:style w:type="paragraph" w:styleId="Footer">
    <w:name w:val="footer"/>
    <w:basedOn w:val="Normal"/>
    <w:semiHidden/>
    <w:rsid w:val="00E703B2"/>
    <w:pPr>
      <w:tabs>
        <w:tab w:val="center" w:pos="4320"/>
        <w:tab w:val="right" w:pos="8640"/>
      </w:tabs>
    </w:pPr>
  </w:style>
  <w:style w:type="paragraph" w:styleId="ListParagraph">
    <w:name w:val="List Paragraph"/>
    <w:basedOn w:val="Normal"/>
    <w:uiPriority w:val="34"/>
    <w:qFormat/>
    <w:rsid w:val="00C84A81"/>
    <w:pPr>
      <w:widowControl/>
      <w:spacing w:after="160" w:line="259" w:lineRule="auto"/>
      <w:ind w:left="720"/>
      <w:contextualSpacing/>
    </w:pPr>
    <w:rPr>
      <w:rFonts w:ascii="Calibri" w:eastAsia="Calibri" w:hAnsi="Calibri"/>
      <w:sz w:val="22"/>
      <w:szCs w:val="22"/>
      <w:lang w:val="en-GB"/>
    </w:rPr>
  </w:style>
  <w:style w:type="paragraph" w:styleId="NoSpacing">
    <w:name w:val="No Spacing"/>
    <w:uiPriority w:val="1"/>
    <w:qFormat/>
    <w:rsid w:val="006B7E25"/>
    <w:rPr>
      <w:rFonts w:ascii="Calibri" w:eastAsia="Calibri" w:hAnsi="Calibri"/>
      <w:sz w:val="22"/>
      <w:szCs w:val="22"/>
      <w:lang w:val="en-US" w:eastAsia="en-US"/>
    </w:rPr>
  </w:style>
  <w:style w:type="character" w:customStyle="1" w:styleId="HeaderChar">
    <w:name w:val="Header Char"/>
    <w:link w:val="Header"/>
    <w:uiPriority w:val="99"/>
    <w:rsid w:val="00E05403"/>
    <w:rPr>
      <w:sz w:val="24"/>
    </w:rPr>
  </w:style>
  <w:style w:type="table" w:styleId="TableGrid">
    <w:name w:val="Table Grid"/>
    <w:basedOn w:val="TableNormal"/>
    <w:uiPriority w:val="39"/>
    <w:rsid w:val="00E632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788"/>
    <w:pPr>
      <w:autoSpaceDE w:val="0"/>
      <w:autoSpaceDN w:val="0"/>
      <w:adjustRightInd w:val="0"/>
    </w:pPr>
    <w:rPr>
      <w:rFonts w:ascii="Calibri" w:eastAsia="Calibri" w:hAnsi="Calibri" w:cs="Calibri"/>
      <w:color w:val="000000"/>
      <w:sz w:val="24"/>
      <w:szCs w:val="24"/>
      <w:lang w:val="en-US" w:eastAsia="en-US"/>
    </w:rPr>
  </w:style>
  <w:style w:type="paragraph" w:styleId="BalloonText">
    <w:name w:val="Balloon Text"/>
    <w:basedOn w:val="Normal"/>
    <w:link w:val="BalloonTextChar"/>
    <w:uiPriority w:val="99"/>
    <w:semiHidden/>
    <w:unhideWhenUsed/>
    <w:rsid w:val="007C70D6"/>
    <w:pPr>
      <w:widowControl/>
    </w:pPr>
    <w:rPr>
      <w:rFonts w:ascii="Segoe UI" w:eastAsia="Calibri" w:hAnsi="Segoe UI" w:cs="Segoe UI"/>
      <w:sz w:val="18"/>
      <w:szCs w:val="18"/>
      <w:lang w:val="en-GB"/>
    </w:rPr>
  </w:style>
  <w:style w:type="character" w:customStyle="1" w:styleId="BalloonTextChar">
    <w:name w:val="Balloon Text Char"/>
    <w:link w:val="BalloonText"/>
    <w:uiPriority w:val="99"/>
    <w:semiHidden/>
    <w:rsid w:val="007C70D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2018-02-26T16:00:00+00:00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1629</Value>
      <Value>1114</Value>
      <Value>296</Value>
      <Value>1</Value>
    </TaxCatchAll>
    <c4e2ab2cc9354bbf9064eeb465a566ea xmlns="1ed4137b-41b2-488b-8250-6d369ec27664">
      <Terms xmlns="http://schemas.microsoft.com/office/infopath/2007/PartnerControls"/>
    </c4e2ab2cc9354bbf9064eeb465a566ea>
    <UndpProjectNo xmlns="1ed4137b-41b2-488b-8250-6d369ec27664">00074076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ATLASPDC-4-80060</_dlc_DocId>
    <_dlc_DocIdUrl xmlns="f1161f5b-24a3-4c2d-bc81-44cb9325e8ee">
      <Url>https://info.undp.org/docs/pdc/_layouts/DocIdRedir.aspx?ID=ATLASPDC-4-80060</Url>
      <Description>ATLASPDC-4-80060</Description>
    </_dlc_DocIdUrl>
    <Document_x0020_Coverage_x0020_Period_x0020_Start_x0020_Date xmlns="f1161f5b-24a3-4c2d-bc81-44cb9325e8ee" xsi:nil="true"/>
    <Document_x0020_Coverage_x0020_Period_x0020_End_x0020_Date xmlns="f1161f5b-24a3-4c2d-bc81-44cb9325e8ee">2017-12-31T05:00:00+00:00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E55BF8F-36BC-4EA2-941A-53BB88A7A34C}"/>
</file>

<file path=customXml/itemProps2.xml><?xml version="1.0" encoding="utf-8"?>
<ds:datastoreItem xmlns:ds="http://schemas.openxmlformats.org/officeDocument/2006/customXml" ds:itemID="{58B3D8D9-0B72-4D68-88E0-DFDE4F2AE3FF}"/>
</file>

<file path=customXml/itemProps3.xml><?xml version="1.0" encoding="utf-8"?>
<ds:datastoreItem xmlns:ds="http://schemas.openxmlformats.org/officeDocument/2006/customXml" ds:itemID="{94035F7C-46EE-4A0A-848F-708CA491C595}"/>
</file>

<file path=customXml/itemProps4.xml><?xml version="1.0" encoding="utf-8"?>
<ds:datastoreItem xmlns:ds="http://schemas.openxmlformats.org/officeDocument/2006/customXml" ds:itemID="{0F2634E1-8D8D-404F-8C61-83710F80BBEC}"/>
</file>

<file path=customXml/itemProps5.xml><?xml version="1.0" encoding="utf-8"?>
<ds:datastoreItem xmlns:ds="http://schemas.openxmlformats.org/officeDocument/2006/customXml" ds:itemID="{648B97FC-3949-4E9E-A2DC-C9A2C9ADFDC9}"/>
</file>

<file path=docProps/app.xml><?xml version="1.0" encoding="utf-8"?>
<Properties xmlns="http://schemas.openxmlformats.org/officeDocument/2006/extended-properties" xmlns:vt="http://schemas.openxmlformats.org/officeDocument/2006/docPropsVTypes">
  <Template>Normal</Template>
  <TotalTime>6</TotalTime>
  <Pages>5</Pages>
  <Words>1422</Words>
  <Characters>8729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Country:Sierra Leone</dc:title>
  <dc:subject/>
  <dc:creator/>
  <cp:keywords/>
  <cp:lastModifiedBy>Tanzila Sankoh</cp:lastModifiedBy>
  <cp:revision>2</cp:revision>
  <cp:lastPrinted>2013-11-25T12:22:00Z</cp:lastPrinted>
  <dcterms:created xsi:type="dcterms:W3CDTF">2018-02-19T11:37:00Z</dcterms:created>
  <dcterms:modified xsi:type="dcterms:W3CDTF">2018-02-19T11:37:00Z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8369a3c1-a4c0-41ea-b0ee-152d5dc86c40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